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B62C4">
        <w:trPr>
          <w:trHeight w:hRule="exact" w:val="1528"/>
        </w:trPr>
        <w:tc>
          <w:tcPr>
            <w:tcW w:w="143" w:type="dxa"/>
          </w:tcPr>
          <w:p w:rsidR="00CB62C4" w:rsidRDefault="00CB62C4"/>
        </w:tc>
        <w:tc>
          <w:tcPr>
            <w:tcW w:w="285" w:type="dxa"/>
          </w:tcPr>
          <w:p w:rsidR="00CB62C4" w:rsidRDefault="00CB62C4"/>
        </w:tc>
        <w:tc>
          <w:tcPr>
            <w:tcW w:w="710" w:type="dxa"/>
          </w:tcPr>
          <w:p w:rsidR="00CB62C4" w:rsidRDefault="00CB62C4"/>
        </w:tc>
        <w:tc>
          <w:tcPr>
            <w:tcW w:w="1419" w:type="dxa"/>
          </w:tcPr>
          <w:p w:rsidR="00CB62C4" w:rsidRDefault="00CB62C4"/>
        </w:tc>
        <w:tc>
          <w:tcPr>
            <w:tcW w:w="1419" w:type="dxa"/>
          </w:tcPr>
          <w:p w:rsidR="00CB62C4" w:rsidRDefault="00CB62C4"/>
        </w:tc>
        <w:tc>
          <w:tcPr>
            <w:tcW w:w="710" w:type="dxa"/>
          </w:tcPr>
          <w:p w:rsidR="00CB62C4" w:rsidRDefault="00CB62C4"/>
        </w:tc>
        <w:tc>
          <w:tcPr>
            <w:tcW w:w="5543" w:type="dxa"/>
            <w:gridSpan w:val="4"/>
            <w:shd w:val="clear" w:color="000000" w:fill="FFFFFF"/>
            <w:tcMar>
              <w:left w:w="34" w:type="dxa"/>
              <w:right w:w="34" w:type="dxa"/>
            </w:tcMar>
          </w:tcPr>
          <w:p w:rsidR="00CB62C4" w:rsidRDefault="00E340FB">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CB62C4">
        <w:trPr>
          <w:trHeight w:hRule="exact" w:val="138"/>
        </w:trPr>
        <w:tc>
          <w:tcPr>
            <w:tcW w:w="143" w:type="dxa"/>
          </w:tcPr>
          <w:p w:rsidR="00CB62C4" w:rsidRDefault="00CB62C4"/>
        </w:tc>
        <w:tc>
          <w:tcPr>
            <w:tcW w:w="285" w:type="dxa"/>
          </w:tcPr>
          <w:p w:rsidR="00CB62C4" w:rsidRDefault="00CB62C4"/>
        </w:tc>
        <w:tc>
          <w:tcPr>
            <w:tcW w:w="710" w:type="dxa"/>
          </w:tcPr>
          <w:p w:rsidR="00CB62C4" w:rsidRDefault="00CB62C4"/>
        </w:tc>
        <w:tc>
          <w:tcPr>
            <w:tcW w:w="1419" w:type="dxa"/>
          </w:tcPr>
          <w:p w:rsidR="00CB62C4" w:rsidRDefault="00CB62C4"/>
        </w:tc>
        <w:tc>
          <w:tcPr>
            <w:tcW w:w="1419" w:type="dxa"/>
          </w:tcPr>
          <w:p w:rsidR="00CB62C4" w:rsidRDefault="00CB62C4"/>
        </w:tc>
        <w:tc>
          <w:tcPr>
            <w:tcW w:w="710" w:type="dxa"/>
          </w:tcPr>
          <w:p w:rsidR="00CB62C4" w:rsidRDefault="00CB62C4"/>
        </w:tc>
        <w:tc>
          <w:tcPr>
            <w:tcW w:w="426" w:type="dxa"/>
          </w:tcPr>
          <w:p w:rsidR="00CB62C4" w:rsidRDefault="00CB62C4"/>
        </w:tc>
        <w:tc>
          <w:tcPr>
            <w:tcW w:w="1277" w:type="dxa"/>
          </w:tcPr>
          <w:p w:rsidR="00CB62C4" w:rsidRDefault="00CB62C4"/>
        </w:tc>
        <w:tc>
          <w:tcPr>
            <w:tcW w:w="993" w:type="dxa"/>
          </w:tcPr>
          <w:p w:rsidR="00CB62C4" w:rsidRDefault="00CB62C4"/>
        </w:tc>
        <w:tc>
          <w:tcPr>
            <w:tcW w:w="2836" w:type="dxa"/>
          </w:tcPr>
          <w:p w:rsidR="00CB62C4" w:rsidRDefault="00CB62C4"/>
        </w:tc>
      </w:tr>
      <w:tr w:rsidR="00CB62C4">
        <w:trPr>
          <w:trHeight w:hRule="exact" w:val="585"/>
        </w:trPr>
        <w:tc>
          <w:tcPr>
            <w:tcW w:w="10221" w:type="dxa"/>
            <w:gridSpan w:val="10"/>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B62C4" w:rsidRDefault="00E340F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B62C4">
        <w:trPr>
          <w:trHeight w:hRule="exact" w:val="314"/>
        </w:trPr>
        <w:tc>
          <w:tcPr>
            <w:tcW w:w="10221" w:type="dxa"/>
            <w:gridSpan w:val="10"/>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B62C4">
        <w:trPr>
          <w:trHeight w:hRule="exact" w:val="211"/>
        </w:trPr>
        <w:tc>
          <w:tcPr>
            <w:tcW w:w="143" w:type="dxa"/>
          </w:tcPr>
          <w:p w:rsidR="00CB62C4" w:rsidRDefault="00CB62C4"/>
        </w:tc>
        <w:tc>
          <w:tcPr>
            <w:tcW w:w="285" w:type="dxa"/>
          </w:tcPr>
          <w:p w:rsidR="00CB62C4" w:rsidRDefault="00CB62C4"/>
        </w:tc>
        <w:tc>
          <w:tcPr>
            <w:tcW w:w="710" w:type="dxa"/>
          </w:tcPr>
          <w:p w:rsidR="00CB62C4" w:rsidRDefault="00CB62C4"/>
        </w:tc>
        <w:tc>
          <w:tcPr>
            <w:tcW w:w="1419" w:type="dxa"/>
          </w:tcPr>
          <w:p w:rsidR="00CB62C4" w:rsidRDefault="00CB62C4"/>
        </w:tc>
        <w:tc>
          <w:tcPr>
            <w:tcW w:w="1419" w:type="dxa"/>
          </w:tcPr>
          <w:p w:rsidR="00CB62C4" w:rsidRDefault="00CB62C4"/>
        </w:tc>
        <w:tc>
          <w:tcPr>
            <w:tcW w:w="710" w:type="dxa"/>
          </w:tcPr>
          <w:p w:rsidR="00CB62C4" w:rsidRDefault="00CB62C4"/>
        </w:tc>
        <w:tc>
          <w:tcPr>
            <w:tcW w:w="426" w:type="dxa"/>
          </w:tcPr>
          <w:p w:rsidR="00CB62C4" w:rsidRDefault="00CB62C4"/>
        </w:tc>
        <w:tc>
          <w:tcPr>
            <w:tcW w:w="1277" w:type="dxa"/>
          </w:tcPr>
          <w:p w:rsidR="00CB62C4" w:rsidRDefault="00CB62C4"/>
        </w:tc>
        <w:tc>
          <w:tcPr>
            <w:tcW w:w="993" w:type="dxa"/>
          </w:tcPr>
          <w:p w:rsidR="00CB62C4" w:rsidRDefault="00CB62C4"/>
        </w:tc>
        <w:tc>
          <w:tcPr>
            <w:tcW w:w="2836" w:type="dxa"/>
          </w:tcPr>
          <w:p w:rsidR="00CB62C4" w:rsidRDefault="00CB62C4"/>
        </w:tc>
      </w:tr>
      <w:tr w:rsidR="00CB62C4">
        <w:trPr>
          <w:trHeight w:hRule="exact" w:val="277"/>
        </w:trPr>
        <w:tc>
          <w:tcPr>
            <w:tcW w:w="143" w:type="dxa"/>
          </w:tcPr>
          <w:p w:rsidR="00CB62C4" w:rsidRDefault="00CB62C4"/>
        </w:tc>
        <w:tc>
          <w:tcPr>
            <w:tcW w:w="285" w:type="dxa"/>
          </w:tcPr>
          <w:p w:rsidR="00CB62C4" w:rsidRDefault="00CB62C4"/>
        </w:tc>
        <w:tc>
          <w:tcPr>
            <w:tcW w:w="710" w:type="dxa"/>
          </w:tcPr>
          <w:p w:rsidR="00CB62C4" w:rsidRDefault="00CB62C4"/>
        </w:tc>
        <w:tc>
          <w:tcPr>
            <w:tcW w:w="1419" w:type="dxa"/>
          </w:tcPr>
          <w:p w:rsidR="00CB62C4" w:rsidRDefault="00CB62C4"/>
        </w:tc>
        <w:tc>
          <w:tcPr>
            <w:tcW w:w="1419" w:type="dxa"/>
          </w:tcPr>
          <w:p w:rsidR="00CB62C4" w:rsidRDefault="00CB62C4"/>
        </w:tc>
        <w:tc>
          <w:tcPr>
            <w:tcW w:w="710" w:type="dxa"/>
          </w:tcPr>
          <w:p w:rsidR="00CB62C4" w:rsidRDefault="00CB62C4"/>
        </w:tc>
        <w:tc>
          <w:tcPr>
            <w:tcW w:w="426" w:type="dxa"/>
          </w:tcPr>
          <w:p w:rsidR="00CB62C4" w:rsidRDefault="00CB62C4"/>
        </w:tc>
        <w:tc>
          <w:tcPr>
            <w:tcW w:w="1277" w:type="dxa"/>
          </w:tcPr>
          <w:p w:rsidR="00CB62C4" w:rsidRDefault="00CB62C4"/>
        </w:tc>
        <w:tc>
          <w:tcPr>
            <w:tcW w:w="3842" w:type="dxa"/>
            <w:gridSpan w:val="2"/>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УТВЕРЖДАЮ</w:t>
            </w:r>
          </w:p>
        </w:tc>
      </w:tr>
      <w:tr w:rsidR="00CB62C4">
        <w:trPr>
          <w:trHeight w:hRule="exact" w:val="972"/>
        </w:trPr>
        <w:tc>
          <w:tcPr>
            <w:tcW w:w="143" w:type="dxa"/>
          </w:tcPr>
          <w:p w:rsidR="00CB62C4" w:rsidRDefault="00CB62C4"/>
        </w:tc>
        <w:tc>
          <w:tcPr>
            <w:tcW w:w="285" w:type="dxa"/>
          </w:tcPr>
          <w:p w:rsidR="00CB62C4" w:rsidRDefault="00CB62C4"/>
        </w:tc>
        <w:tc>
          <w:tcPr>
            <w:tcW w:w="710" w:type="dxa"/>
          </w:tcPr>
          <w:p w:rsidR="00CB62C4" w:rsidRDefault="00CB62C4"/>
        </w:tc>
        <w:tc>
          <w:tcPr>
            <w:tcW w:w="1419" w:type="dxa"/>
          </w:tcPr>
          <w:p w:rsidR="00CB62C4" w:rsidRDefault="00CB62C4"/>
        </w:tc>
        <w:tc>
          <w:tcPr>
            <w:tcW w:w="1419" w:type="dxa"/>
          </w:tcPr>
          <w:p w:rsidR="00CB62C4" w:rsidRDefault="00CB62C4"/>
        </w:tc>
        <w:tc>
          <w:tcPr>
            <w:tcW w:w="710" w:type="dxa"/>
          </w:tcPr>
          <w:p w:rsidR="00CB62C4" w:rsidRDefault="00CB62C4"/>
        </w:tc>
        <w:tc>
          <w:tcPr>
            <w:tcW w:w="426" w:type="dxa"/>
          </w:tcPr>
          <w:p w:rsidR="00CB62C4" w:rsidRDefault="00CB62C4"/>
        </w:tc>
        <w:tc>
          <w:tcPr>
            <w:tcW w:w="1277" w:type="dxa"/>
          </w:tcPr>
          <w:p w:rsidR="00CB62C4" w:rsidRDefault="00CB62C4"/>
        </w:tc>
        <w:tc>
          <w:tcPr>
            <w:tcW w:w="3842" w:type="dxa"/>
            <w:gridSpan w:val="2"/>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B62C4" w:rsidRDefault="00CB62C4">
            <w:pPr>
              <w:spacing w:after="0" w:line="240" w:lineRule="auto"/>
              <w:jc w:val="center"/>
              <w:rPr>
                <w:sz w:val="24"/>
                <w:szCs w:val="24"/>
              </w:rPr>
            </w:pPr>
          </w:p>
          <w:p w:rsidR="00CB62C4" w:rsidRDefault="00E340F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B62C4">
        <w:trPr>
          <w:trHeight w:hRule="exact" w:val="277"/>
        </w:trPr>
        <w:tc>
          <w:tcPr>
            <w:tcW w:w="143" w:type="dxa"/>
          </w:tcPr>
          <w:p w:rsidR="00CB62C4" w:rsidRDefault="00CB62C4"/>
        </w:tc>
        <w:tc>
          <w:tcPr>
            <w:tcW w:w="285" w:type="dxa"/>
          </w:tcPr>
          <w:p w:rsidR="00CB62C4" w:rsidRDefault="00CB62C4"/>
        </w:tc>
        <w:tc>
          <w:tcPr>
            <w:tcW w:w="710" w:type="dxa"/>
          </w:tcPr>
          <w:p w:rsidR="00CB62C4" w:rsidRDefault="00CB62C4"/>
        </w:tc>
        <w:tc>
          <w:tcPr>
            <w:tcW w:w="1419" w:type="dxa"/>
          </w:tcPr>
          <w:p w:rsidR="00CB62C4" w:rsidRDefault="00CB62C4"/>
        </w:tc>
        <w:tc>
          <w:tcPr>
            <w:tcW w:w="1419" w:type="dxa"/>
          </w:tcPr>
          <w:p w:rsidR="00CB62C4" w:rsidRDefault="00CB62C4"/>
        </w:tc>
        <w:tc>
          <w:tcPr>
            <w:tcW w:w="710" w:type="dxa"/>
          </w:tcPr>
          <w:p w:rsidR="00CB62C4" w:rsidRDefault="00CB62C4"/>
        </w:tc>
        <w:tc>
          <w:tcPr>
            <w:tcW w:w="426" w:type="dxa"/>
          </w:tcPr>
          <w:p w:rsidR="00CB62C4" w:rsidRDefault="00CB62C4"/>
        </w:tc>
        <w:tc>
          <w:tcPr>
            <w:tcW w:w="1277" w:type="dxa"/>
          </w:tcPr>
          <w:p w:rsidR="00CB62C4" w:rsidRDefault="00CB62C4"/>
        </w:tc>
        <w:tc>
          <w:tcPr>
            <w:tcW w:w="3842" w:type="dxa"/>
            <w:gridSpan w:val="2"/>
            <w:shd w:val="clear" w:color="000000" w:fill="FFFFFF"/>
            <w:tcMar>
              <w:left w:w="34" w:type="dxa"/>
              <w:right w:w="34" w:type="dxa"/>
            </w:tcMar>
          </w:tcPr>
          <w:p w:rsidR="00CB62C4" w:rsidRDefault="00E340FB">
            <w:pPr>
              <w:spacing w:after="0" w:line="240" w:lineRule="auto"/>
              <w:jc w:val="right"/>
              <w:rPr>
                <w:sz w:val="24"/>
                <w:szCs w:val="24"/>
              </w:rPr>
            </w:pPr>
            <w:r>
              <w:rPr>
                <w:rFonts w:ascii="Times New Roman" w:hAnsi="Times New Roman" w:cs="Times New Roman"/>
                <w:color w:val="000000"/>
                <w:sz w:val="24"/>
                <w:szCs w:val="24"/>
              </w:rPr>
              <w:t>28.03.2022</w:t>
            </w:r>
          </w:p>
        </w:tc>
      </w:tr>
      <w:tr w:rsidR="00CB62C4">
        <w:trPr>
          <w:trHeight w:hRule="exact" w:val="277"/>
        </w:trPr>
        <w:tc>
          <w:tcPr>
            <w:tcW w:w="143" w:type="dxa"/>
          </w:tcPr>
          <w:p w:rsidR="00CB62C4" w:rsidRDefault="00CB62C4"/>
        </w:tc>
        <w:tc>
          <w:tcPr>
            <w:tcW w:w="285" w:type="dxa"/>
          </w:tcPr>
          <w:p w:rsidR="00CB62C4" w:rsidRDefault="00CB62C4"/>
        </w:tc>
        <w:tc>
          <w:tcPr>
            <w:tcW w:w="710" w:type="dxa"/>
          </w:tcPr>
          <w:p w:rsidR="00CB62C4" w:rsidRDefault="00CB62C4"/>
        </w:tc>
        <w:tc>
          <w:tcPr>
            <w:tcW w:w="1419" w:type="dxa"/>
          </w:tcPr>
          <w:p w:rsidR="00CB62C4" w:rsidRDefault="00CB62C4"/>
        </w:tc>
        <w:tc>
          <w:tcPr>
            <w:tcW w:w="1419" w:type="dxa"/>
          </w:tcPr>
          <w:p w:rsidR="00CB62C4" w:rsidRDefault="00CB62C4"/>
        </w:tc>
        <w:tc>
          <w:tcPr>
            <w:tcW w:w="710" w:type="dxa"/>
          </w:tcPr>
          <w:p w:rsidR="00CB62C4" w:rsidRDefault="00CB62C4"/>
        </w:tc>
        <w:tc>
          <w:tcPr>
            <w:tcW w:w="426" w:type="dxa"/>
          </w:tcPr>
          <w:p w:rsidR="00CB62C4" w:rsidRDefault="00CB62C4"/>
        </w:tc>
        <w:tc>
          <w:tcPr>
            <w:tcW w:w="1277" w:type="dxa"/>
          </w:tcPr>
          <w:p w:rsidR="00CB62C4" w:rsidRDefault="00CB62C4"/>
        </w:tc>
        <w:tc>
          <w:tcPr>
            <w:tcW w:w="993" w:type="dxa"/>
          </w:tcPr>
          <w:p w:rsidR="00CB62C4" w:rsidRDefault="00CB62C4"/>
        </w:tc>
        <w:tc>
          <w:tcPr>
            <w:tcW w:w="2836" w:type="dxa"/>
          </w:tcPr>
          <w:p w:rsidR="00CB62C4" w:rsidRDefault="00CB62C4"/>
        </w:tc>
      </w:tr>
      <w:tr w:rsidR="00CB62C4">
        <w:trPr>
          <w:trHeight w:hRule="exact" w:val="416"/>
        </w:trPr>
        <w:tc>
          <w:tcPr>
            <w:tcW w:w="10221" w:type="dxa"/>
            <w:gridSpan w:val="10"/>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B62C4">
        <w:trPr>
          <w:trHeight w:hRule="exact" w:val="1135"/>
        </w:trPr>
        <w:tc>
          <w:tcPr>
            <w:tcW w:w="143" w:type="dxa"/>
          </w:tcPr>
          <w:p w:rsidR="00CB62C4" w:rsidRDefault="00CB62C4"/>
        </w:tc>
        <w:tc>
          <w:tcPr>
            <w:tcW w:w="285" w:type="dxa"/>
          </w:tcPr>
          <w:p w:rsidR="00CB62C4" w:rsidRDefault="00CB62C4"/>
        </w:tc>
        <w:tc>
          <w:tcPr>
            <w:tcW w:w="710" w:type="dxa"/>
          </w:tcPr>
          <w:p w:rsidR="00CB62C4" w:rsidRDefault="00CB62C4"/>
        </w:tc>
        <w:tc>
          <w:tcPr>
            <w:tcW w:w="1419" w:type="dxa"/>
          </w:tcPr>
          <w:p w:rsidR="00CB62C4" w:rsidRDefault="00CB62C4"/>
        </w:tc>
        <w:tc>
          <w:tcPr>
            <w:tcW w:w="4834" w:type="dxa"/>
            <w:gridSpan w:val="5"/>
            <w:shd w:val="clear" w:color="000000" w:fill="FFFFFF"/>
            <w:tcMar>
              <w:left w:w="34" w:type="dxa"/>
              <w:right w:w="34" w:type="dxa"/>
            </w:tcMar>
          </w:tcPr>
          <w:p w:rsidR="00CB62C4" w:rsidRDefault="00E340FB">
            <w:pPr>
              <w:spacing w:after="0" w:line="240" w:lineRule="auto"/>
              <w:jc w:val="center"/>
              <w:rPr>
                <w:sz w:val="32"/>
                <w:szCs w:val="32"/>
              </w:rPr>
            </w:pPr>
            <w:r>
              <w:rPr>
                <w:rFonts w:ascii="Times New Roman" w:hAnsi="Times New Roman" w:cs="Times New Roman"/>
                <w:color w:val="000000"/>
                <w:sz w:val="32"/>
                <w:szCs w:val="32"/>
              </w:rPr>
              <w:t>Финансовый анализ в страховании</w:t>
            </w:r>
          </w:p>
          <w:p w:rsidR="00CB62C4" w:rsidRDefault="00E340FB">
            <w:pPr>
              <w:spacing w:after="0" w:line="240" w:lineRule="auto"/>
              <w:jc w:val="center"/>
              <w:rPr>
                <w:sz w:val="32"/>
                <w:szCs w:val="32"/>
              </w:rPr>
            </w:pPr>
            <w:r>
              <w:rPr>
                <w:rFonts w:ascii="Times New Roman" w:hAnsi="Times New Roman" w:cs="Times New Roman"/>
                <w:color w:val="000000"/>
                <w:sz w:val="32"/>
                <w:szCs w:val="32"/>
              </w:rPr>
              <w:t>К.М.03.05</w:t>
            </w:r>
          </w:p>
        </w:tc>
        <w:tc>
          <w:tcPr>
            <w:tcW w:w="2836" w:type="dxa"/>
          </w:tcPr>
          <w:p w:rsidR="00CB62C4" w:rsidRDefault="00CB62C4"/>
        </w:tc>
      </w:tr>
      <w:tr w:rsidR="00CB62C4">
        <w:trPr>
          <w:trHeight w:hRule="exact" w:val="277"/>
        </w:trPr>
        <w:tc>
          <w:tcPr>
            <w:tcW w:w="10221" w:type="dxa"/>
            <w:gridSpan w:val="10"/>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B62C4">
        <w:trPr>
          <w:trHeight w:hRule="exact" w:val="1111"/>
        </w:trPr>
        <w:tc>
          <w:tcPr>
            <w:tcW w:w="143" w:type="dxa"/>
          </w:tcPr>
          <w:p w:rsidR="00CB62C4" w:rsidRDefault="00CB62C4"/>
        </w:tc>
        <w:tc>
          <w:tcPr>
            <w:tcW w:w="285" w:type="dxa"/>
          </w:tcPr>
          <w:p w:rsidR="00CB62C4" w:rsidRDefault="00CB62C4"/>
        </w:tc>
        <w:tc>
          <w:tcPr>
            <w:tcW w:w="9795" w:type="dxa"/>
            <w:gridSpan w:val="8"/>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CB62C4" w:rsidRDefault="00E340F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CB62C4" w:rsidRDefault="00E340F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B62C4">
        <w:trPr>
          <w:trHeight w:hRule="exact" w:val="833"/>
        </w:trPr>
        <w:tc>
          <w:tcPr>
            <w:tcW w:w="10221" w:type="dxa"/>
            <w:gridSpan w:val="10"/>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CB62C4">
        <w:trPr>
          <w:trHeight w:hRule="exact" w:val="277"/>
        </w:trPr>
        <w:tc>
          <w:tcPr>
            <w:tcW w:w="3984" w:type="dxa"/>
            <w:gridSpan w:val="5"/>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B62C4" w:rsidRDefault="00CB62C4"/>
        </w:tc>
        <w:tc>
          <w:tcPr>
            <w:tcW w:w="426" w:type="dxa"/>
          </w:tcPr>
          <w:p w:rsidR="00CB62C4" w:rsidRDefault="00CB62C4"/>
        </w:tc>
        <w:tc>
          <w:tcPr>
            <w:tcW w:w="1277" w:type="dxa"/>
          </w:tcPr>
          <w:p w:rsidR="00CB62C4" w:rsidRDefault="00CB62C4"/>
        </w:tc>
        <w:tc>
          <w:tcPr>
            <w:tcW w:w="993" w:type="dxa"/>
          </w:tcPr>
          <w:p w:rsidR="00CB62C4" w:rsidRDefault="00CB62C4"/>
        </w:tc>
        <w:tc>
          <w:tcPr>
            <w:tcW w:w="2836" w:type="dxa"/>
          </w:tcPr>
          <w:p w:rsidR="00CB62C4" w:rsidRDefault="00CB62C4"/>
        </w:tc>
      </w:tr>
      <w:tr w:rsidR="00CB62C4">
        <w:trPr>
          <w:trHeight w:hRule="exact" w:val="155"/>
        </w:trPr>
        <w:tc>
          <w:tcPr>
            <w:tcW w:w="143" w:type="dxa"/>
          </w:tcPr>
          <w:p w:rsidR="00CB62C4" w:rsidRDefault="00CB62C4"/>
        </w:tc>
        <w:tc>
          <w:tcPr>
            <w:tcW w:w="285" w:type="dxa"/>
          </w:tcPr>
          <w:p w:rsidR="00CB62C4" w:rsidRDefault="00CB62C4"/>
        </w:tc>
        <w:tc>
          <w:tcPr>
            <w:tcW w:w="710" w:type="dxa"/>
          </w:tcPr>
          <w:p w:rsidR="00CB62C4" w:rsidRDefault="00CB62C4"/>
        </w:tc>
        <w:tc>
          <w:tcPr>
            <w:tcW w:w="1419" w:type="dxa"/>
          </w:tcPr>
          <w:p w:rsidR="00CB62C4" w:rsidRDefault="00CB62C4"/>
        </w:tc>
        <w:tc>
          <w:tcPr>
            <w:tcW w:w="1419" w:type="dxa"/>
          </w:tcPr>
          <w:p w:rsidR="00CB62C4" w:rsidRDefault="00CB62C4"/>
        </w:tc>
        <w:tc>
          <w:tcPr>
            <w:tcW w:w="710" w:type="dxa"/>
          </w:tcPr>
          <w:p w:rsidR="00CB62C4" w:rsidRDefault="00CB62C4"/>
        </w:tc>
        <w:tc>
          <w:tcPr>
            <w:tcW w:w="426" w:type="dxa"/>
          </w:tcPr>
          <w:p w:rsidR="00CB62C4" w:rsidRDefault="00CB62C4"/>
        </w:tc>
        <w:tc>
          <w:tcPr>
            <w:tcW w:w="1277" w:type="dxa"/>
          </w:tcPr>
          <w:p w:rsidR="00CB62C4" w:rsidRDefault="00CB62C4"/>
        </w:tc>
        <w:tc>
          <w:tcPr>
            <w:tcW w:w="993" w:type="dxa"/>
          </w:tcPr>
          <w:p w:rsidR="00CB62C4" w:rsidRDefault="00CB62C4"/>
        </w:tc>
        <w:tc>
          <w:tcPr>
            <w:tcW w:w="2836" w:type="dxa"/>
          </w:tcPr>
          <w:p w:rsidR="00CB62C4" w:rsidRDefault="00CB62C4"/>
        </w:tc>
      </w:tr>
      <w:tr w:rsidR="00CB62C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ФИНАНСЫ И ЭКОНОМИКА</w:t>
            </w:r>
          </w:p>
        </w:tc>
      </w:tr>
      <w:tr w:rsidR="00CB62C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CB62C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CB62C4">
        <w:trPr>
          <w:trHeight w:hRule="exact" w:val="124"/>
        </w:trPr>
        <w:tc>
          <w:tcPr>
            <w:tcW w:w="143" w:type="dxa"/>
          </w:tcPr>
          <w:p w:rsidR="00CB62C4" w:rsidRDefault="00CB62C4"/>
        </w:tc>
        <w:tc>
          <w:tcPr>
            <w:tcW w:w="285" w:type="dxa"/>
          </w:tcPr>
          <w:p w:rsidR="00CB62C4" w:rsidRDefault="00CB62C4"/>
        </w:tc>
        <w:tc>
          <w:tcPr>
            <w:tcW w:w="710" w:type="dxa"/>
          </w:tcPr>
          <w:p w:rsidR="00CB62C4" w:rsidRDefault="00CB62C4"/>
        </w:tc>
        <w:tc>
          <w:tcPr>
            <w:tcW w:w="1419" w:type="dxa"/>
          </w:tcPr>
          <w:p w:rsidR="00CB62C4" w:rsidRDefault="00CB62C4"/>
        </w:tc>
        <w:tc>
          <w:tcPr>
            <w:tcW w:w="1419" w:type="dxa"/>
          </w:tcPr>
          <w:p w:rsidR="00CB62C4" w:rsidRDefault="00CB62C4"/>
        </w:tc>
        <w:tc>
          <w:tcPr>
            <w:tcW w:w="710" w:type="dxa"/>
          </w:tcPr>
          <w:p w:rsidR="00CB62C4" w:rsidRDefault="00CB62C4"/>
        </w:tc>
        <w:tc>
          <w:tcPr>
            <w:tcW w:w="426" w:type="dxa"/>
          </w:tcPr>
          <w:p w:rsidR="00CB62C4" w:rsidRDefault="00CB62C4"/>
        </w:tc>
        <w:tc>
          <w:tcPr>
            <w:tcW w:w="1277" w:type="dxa"/>
          </w:tcPr>
          <w:p w:rsidR="00CB62C4" w:rsidRDefault="00CB62C4"/>
        </w:tc>
        <w:tc>
          <w:tcPr>
            <w:tcW w:w="993" w:type="dxa"/>
          </w:tcPr>
          <w:p w:rsidR="00CB62C4" w:rsidRDefault="00CB62C4"/>
        </w:tc>
        <w:tc>
          <w:tcPr>
            <w:tcW w:w="2836" w:type="dxa"/>
          </w:tcPr>
          <w:p w:rsidR="00CB62C4" w:rsidRDefault="00CB62C4"/>
        </w:tc>
      </w:tr>
      <w:tr w:rsidR="00CB62C4">
        <w:trPr>
          <w:trHeight w:hRule="exact" w:val="277"/>
        </w:trPr>
        <w:tc>
          <w:tcPr>
            <w:tcW w:w="5118" w:type="dxa"/>
            <w:gridSpan w:val="7"/>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CB62C4">
        <w:trPr>
          <w:trHeight w:hRule="exact" w:val="577"/>
        </w:trPr>
        <w:tc>
          <w:tcPr>
            <w:tcW w:w="143" w:type="dxa"/>
          </w:tcPr>
          <w:p w:rsidR="00CB62C4" w:rsidRDefault="00CB62C4"/>
        </w:tc>
        <w:tc>
          <w:tcPr>
            <w:tcW w:w="285" w:type="dxa"/>
          </w:tcPr>
          <w:p w:rsidR="00CB62C4" w:rsidRDefault="00CB62C4"/>
        </w:tc>
        <w:tc>
          <w:tcPr>
            <w:tcW w:w="710" w:type="dxa"/>
          </w:tcPr>
          <w:p w:rsidR="00CB62C4" w:rsidRDefault="00CB62C4"/>
        </w:tc>
        <w:tc>
          <w:tcPr>
            <w:tcW w:w="1419" w:type="dxa"/>
          </w:tcPr>
          <w:p w:rsidR="00CB62C4" w:rsidRDefault="00CB62C4"/>
        </w:tc>
        <w:tc>
          <w:tcPr>
            <w:tcW w:w="1419" w:type="dxa"/>
          </w:tcPr>
          <w:p w:rsidR="00CB62C4" w:rsidRDefault="00CB62C4"/>
        </w:tc>
        <w:tc>
          <w:tcPr>
            <w:tcW w:w="710" w:type="dxa"/>
          </w:tcPr>
          <w:p w:rsidR="00CB62C4" w:rsidRDefault="00CB62C4"/>
        </w:tc>
        <w:tc>
          <w:tcPr>
            <w:tcW w:w="426" w:type="dxa"/>
          </w:tcPr>
          <w:p w:rsidR="00CB62C4" w:rsidRDefault="00CB62C4"/>
        </w:tc>
        <w:tc>
          <w:tcPr>
            <w:tcW w:w="5118" w:type="dxa"/>
            <w:gridSpan w:val="3"/>
            <w:vMerge/>
            <w:shd w:val="clear" w:color="000000" w:fill="FFFFFF"/>
            <w:tcMar>
              <w:left w:w="34" w:type="dxa"/>
              <w:right w:w="34" w:type="dxa"/>
            </w:tcMar>
          </w:tcPr>
          <w:p w:rsidR="00CB62C4" w:rsidRDefault="00CB62C4"/>
        </w:tc>
      </w:tr>
      <w:tr w:rsidR="00CB62C4">
        <w:trPr>
          <w:trHeight w:hRule="exact" w:val="2621"/>
        </w:trPr>
        <w:tc>
          <w:tcPr>
            <w:tcW w:w="143" w:type="dxa"/>
          </w:tcPr>
          <w:p w:rsidR="00CB62C4" w:rsidRDefault="00CB62C4"/>
        </w:tc>
        <w:tc>
          <w:tcPr>
            <w:tcW w:w="285" w:type="dxa"/>
          </w:tcPr>
          <w:p w:rsidR="00CB62C4" w:rsidRDefault="00CB62C4"/>
        </w:tc>
        <w:tc>
          <w:tcPr>
            <w:tcW w:w="710" w:type="dxa"/>
          </w:tcPr>
          <w:p w:rsidR="00CB62C4" w:rsidRDefault="00CB62C4"/>
        </w:tc>
        <w:tc>
          <w:tcPr>
            <w:tcW w:w="1419" w:type="dxa"/>
          </w:tcPr>
          <w:p w:rsidR="00CB62C4" w:rsidRDefault="00CB62C4"/>
        </w:tc>
        <w:tc>
          <w:tcPr>
            <w:tcW w:w="1419" w:type="dxa"/>
          </w:tcPr>
          <w:p w:rsidR="00CB62C4" w:rsidRDefault="00CB62C4"/>
        </w:tc>
        <w:tc>
          <w:tcPr>
            <w:tcW w:w="710" w:type="dxa"/>
          </w:tcPr>
          <w:p w:rsidR="00CB62C4" w:rsidRDefault="00CB62C4"/>
        </w:tc>
        <w:tc>
          <w:tcPr>
            <w:tcW w:w="426" w:type="dxa"/>
          </w:tcPr>
          <w:p w:rsidR="00CB62C4" w:rsidRDefault="00CB62C4"/>
        </w:tc>
        <w:tc>
          <w:tcPr>
            <w:tcW w:w="1277" w:type="dxa"/>
          </w:tcPr>
          <w:p w:rsidR="00CB62C4" w:rsidRDefault="00CB62C4"/>
        </w:tc>
        <w:tc>
          <w:tcPr>
            <w:tcW w:w="993" w:type="dxa"/>
          </w:tcPr>
          <w:p w:rsidR="00CB62C4" w:rsidRDefault="00CB62C4"/>
        </w:tc>
        <w:tc>
          <w:tcPr>
            <w:tcW w:w="2836" w:type="dxa"/>
          </w:tcPr>
          <w:p w:rsidR="00CB62C4" w:rsidRDefault="00CB62C4"/>
        </w:tc>
      </w:tr>
      <w:tr w:rsidR="00CB62C4">
        <w:trPr>
          <w:trHeight w:hRule="exact" w:val="277"/>
        </w:trPr>
        <w:tc>
          <w:tcPr>
            <w:tcW w:w="143" w:type="dxa"/>
          </w:tcPr>
          <w:p w:rsidR="00CB62C4" w:rsidRDefault="00CB62C4"/>
        </w:tc>
        <w:tc>
          <w:tcPr>
            <w:tcW w:w="10079" w:type="dxa"/>
            <w:gridSpan w:val="9"/>
            <w:vMerge w:val="restart"/>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B62C4">
        <w:trPr>
          <w:trHeight w:hRule="exact" w:val="138"/>
        </w:trPr>
        <w:tc>
          <w:tcPr>
            <w:tcW w:w="143" w:type="dxa"/>
          </w:tcPr>
          <w:p w:rsidR="00CB62C4" w:rsidRDefault="00CB62C4"/>
        </w:tc>
        <w:tc>
          <w:tcPr>
            <w:tcW w:w="10079" w:type="dxa"/>
            <w:gridSpan w:val="9"/>
            <w:vMerge/>
            <w:shd w:val="clear" w:color="000000" w:fill="FFFFFF"/>
            <w:tcMar>
              <w:left w:w="34" w:type="dxa"/>
              <w:right w:w="34" w:type="dxa"/>
            </w:tcMar>
          </w:tcPr>
          <w:p w:rsidR="00CB62C4" w:rsidRDefault="00CB62C4"/>
        </w:tc>
      </w:tr>
      <w:tr w:rsidR="00CB62C4">
        <w:trPr>
          <w:trHeight w:hRule="exact" w:val="1666"/>
        </w:trPr>
        <w:tc>
          <w:tcPr>
            <w:tcW w:w="143" w:type="dxa"/>
          </w:tcPr>
          <w:p w:rsidR="00CB62C4" w:rsidRDefault="00CB62C4"/>
        </w:tc>
        <w:tc>
          <w:tcPr>
            <w:tcW w:w="10079" w:type="dxa"/>
            <w:gridSpan w:val="9"/>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B62C4" w:rsidRDefault="00CB62C4">
            <w:pPr>
              <w:spacing w:after="0" w:line="240" w:lineRule="auto"/>
              <w:jc w:val="center"/>
              <w:rPr>
                <w:sz w:val="24"/>
                <w:szCs w:val="24"/>
              </w:rPr>
            </w:pPr>
          </w:p>
          <w:p w:rsidR="00CB62C4" w:rsidRDefault="00E340F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B62C4" w:rsidRDefault="00CB62C4">
            <w:pPr>
              <w:spacing w:after="0" w:line="240" w:lineRule="auto"/>
              <w:jc w:val="center"/>
              <w:rPr>
                <w:sz w:val="24"/>
                <w:szCs w:val="24"/>
              </w:rPr>
            </w:pPr>
          </w:p>
          <w:p w:rsidR="00CB62C4" w:rsidRDefault="00E340FB">
            <w:pPr>
              <w:spacing w:after="0" w:line="240" w:lineRule="auto"/>
              <w:jc w:val="center"/>
              <w:rPr>
                <w:sz w:val="24"/>
                <w:szCs w:val="24"/>
              </w:rPr>
            </w:pPr>
            <w:r>
              <w:rPr>
                <w:rFonts w:ascii="Times New Roman" w:hAnsi="Times New Roman" w:cs="Times New Roman"/>
                <w:color w:val="000000"/>
                <w:sz w:val="24"/>
                <w:szCs w:val="24"/>
              </w:rPr>
              <w:t>Омск, 2022</w:t>
            </w:r>
          </w:p>
        </w:tc>
      </w:tr>
    </w:tbl>
    <w:p w:rsidR="00CB62C4" w:rsidRDefault="00E340F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B62C4">
        <w:trPr>
          <w:trHeight w:hRule="exact" w:val="2222"/>
        </w:trPr>
        <w:tc>
          <w:tcPr>
            <w:tcW w:w="10788" w:type="dxa"/>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lastRenderedPageBreak/>
              <w:t>Составитель:</w:t>
            </w:r>
          </w:p>
          <w:p w:rsidR="00CB62C4" w:rsidRDefault="00CB62C4">
            <w:pPr>
              <w:spacing w:after="0" w:line="240" w:lineRule="auto"/>
              <w:rPr>
                <w:sz w:val="24"/>
                <w:szCs w:val="24"/>
              </w:rPr>
            </w:pPr>
          </w:p>
          <w:p w:rsidR="00CB62C4" w:rsidRDefault="00E340FB">
            <w:pPr>
              <w:spacing w:after="0" w:line="240" w:lineRule="auto"/>
              <w:rPr>
                <w:sz w:val="24"/>
                <w:szCs w:val="24"/>
              </w:rPr>
            </w:pPr>
            <w:r>
              <w:rPr>
                <w:rFonts w:ascii="Times New Roman" w:hAnsi="Times New Roman" w:cs="Times New Roman"/>
                <w:color w:val="000000"/>
                <w:sz w:val="24"/>
                <w:szCs w:val="24"/>
              </w:rPr>
              <w:t>к.э.н., доцент _________________ /Гавриленко Н.Г./</w:t>
            </w:r>
          </w:p>
          <w:p w:rsidR="00CB62C4" w:rsidRDefault="00CB62C4">
            <w:pPr>
              <w:spacing w:after="0" w:line="240" w:lineRule="auto"/>
              <w:rPr>
                <w:sz w:val="24"/>
                <w:szCs w:val="24"/>
              </w:rPr>
            </w:pPr>
          </w:p>
          <w:p w:rsidR="00CB62C4" w:rsidRDefault="00E340F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B62C4" w:rsidRDefault="00E340FB">
            <w:pPr>
              <w:spacing w:after="0" w:line="240" w:lineRule="auto"/>
              <w:rPr>
                <w:sz w:val="24"/>
                <w:szCs w:val="24"/>
              </w:rPr>
            </w:pPr>
            <w:r>
              <w:rPr>
                <w:rFonts w:ascii="Times New Roman" w:hAnsi="Times New Roman" w:cs="Times New Roman"/>
                <w:color w:val="000000"/>
                <w:sz w:val="24"/>
                <w:szCs w:val="24"/>
              </w:rPr>
              <w:t>Протокол от 25.03.2022 г.  №8</w:t>
            </w:r>
          </w:p>
        </w:tc>
      </w:tr>
      <w:tr w:rsidR="00CB62C4">
        <w:trPr>
          <w:trHeight w:hRule="exact" w:val="277"/>
        </w:trPr>
        <w:tc>
          <w:tcPr>
            <w:tcW w:w="10788" w:type="dxa"/>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B62C4" w:rsidRDefault="00E340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62C4">
        <w:trPr>
          <w:trHeight w:hRule="exact" w:val="277"/>
        </w:trPr>
        <w:tc>
          <w:tcPr>
            <w:tcW w:w="9654" w:type="dxa"/>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B62C4">
        <w:trPr>
          <w:trHeight w:hRule="exact" w:val="555"/>
        </w:trPr>
        <w:tc>
          <w:tcPr>
            <w:tcW w:w="9640" w:type="dxa"/>
          </w:tcPr>
          <w:p w:rsidR="00CB62C4" w:rsidRDefault="00CB62C4"/>
        </w:tc>
      </w:tr>
      <w:tr w:rsidR="00CB62C4">
        <w:trPr>
          <w:trHeight w:hRule="exact" w:val="8751"/>
        </w:trPr>
        <w:tc>
          <w:tcPr>
            <w:tcW w:w="9654" w:type="dxa"/>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B62C4" w:rsidRDefault="00E340F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B62C4" w:rsidRDefault="00E340F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B62C4" w:rsidRDefault="00E340F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B62C4" w:rsidRDefault="00E340F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B62C4" w:rsidRDefault="00E340F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B62C4" w:rsidRDefault="00E340F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B62C4" w:rsidRDefault="00E340F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B62C4" w:rsidRDefault="00E340F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B62C4" w:rsidRDefault="00E340F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B62C4" w:rsidRDefault="00E340F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B62C4" w:rsidRDefault="00E340F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B62C4" w:rsidRDefault="00E340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62C4">
        <w:trPr>
          <w:trHeight w:hRule="exact" w:val="277"/>
        </w:trPr>
        <w:tc>
          <w:tcPr>
            <w:tcW w:w="9654" w:type="dxa"/>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B62C4">
        <w:trPr>
          <w:trHeight w:hRule="exact" w:val="14889"/>
        </w:trPr>
        <w:tc>
          <w:tcPr>
            <w:tcW w:w="9654" w:type="dxa"/>
            <w:shd w:val="clear" w:color="000000" w:fill="FFFFFF"/>
            <w:tcMar>
              <w:left w:w="34" w:type="dxa"/>
              <w:right w:w="34" w:type="dxa"/>
            </w:tcMar>
          </w:tcPr>
          <w:p w:rsidR="00CB62C4" w:rsidRDefault="00E340F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B62C4" w:rsidRDefault="00E340F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CB62C4" w:rsidRDefault="00E340F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B62C4" w:rsidRDefault="00E340F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B62C4" w:rsidRDefault="00E340F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62C4" w:rsidRDefault="00E340F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62C4" w:rsidRDefault="00E340F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B62C4" w:rsidRDefault="00E340F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62C4" w:rsidRDefault="00E340F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62C4" w:rsidRDefault="00E340F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CB62C4" w:rsidRDefault="00E340F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«Финансовый анализ в страховании» в течение 2022/2023 учебного года:</w:t>
            </w:r>
          </w:p>
          <w:p w:rsidR="00CB62C4" w:rsidRDefault="00E340F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B62C4" w:rsidRDefault="00E340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62C4">
        <w:trPr>
          <w:trHeight w:hRule="exact" w:val="1396"/>
        </w:trPr>
        <w:tc>
          <w:tcPr>
            <w:tcW w:w="9654" w:type="dxa"/>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К.М.03.05 «Финансовый анализ в страховании».</w:t>
            </w:r>
          </w:p>
          <w:p w:rsidR="00CB62C4" w:rsidRDefault="00E340F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B62C4">
        <w:trPr>
          <w:trHeight w:hRule="exact" w:val="139"/>
        </w:trPr>
        <w:tc>
          <w:tcPr>
            <w:tcW w:w="9640" w:type="dxa"/>
          </w:tcPr>
          <w:p w:rsidR="00CB62C4" w:rsidRDefault="00CB62C4"/>
        </w:tc>
      </w:tr>
      <w:tr w:rsidR="00CB62C4">
        <w:trPr>
          <w:trHeight w:hRule="exact" w:val="3260"/>
        </w:trPr>
        <w:tc>
          <w:tcPr>
            <w:tcW w:w="9654" w:type="dxa"/>
            <w:shd w:val="clear" w:color="000000" w:fill="FFFFFF"/>
            <w:tcMar>
              <w:left w:w="34" w:type="dxa"/>
              <w:right w:w="34" w:type="dxa"/>
            </w:tcMar>
          </w:tcPr>
          <w:p w:rsidR="00CB62C4" w:rsidRDefault="00E340F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B62C4" w:rsidRDefault="00E340F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«Финансовый анализ в страховании»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B62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b/>
                <w:color w:val="000000"/>
                <w:sz w:val="24"/>
                <w:szCs w:val="24"/>
              </w:rPr>
              <w:t>Код компетенции: ПК-1</w:t>
            </w:r>
          </w:p>
          <w:p w:rsidR="00CB62C4" w:rsidRDefault="00E340FB">
            <w:pPr>
              <w:spacing w:after="0" w:line="240" w:lineRule="auto"/>
              <w:rPr>
                <w:sz w:val="24"/>
                <w:szCs w:val="24"/>
              </w:rPr>
            </w:pPr>
            <w:r>
              <w:rPr>
                <w:rFonts w:ascii="Times New Roman" w:hAnsi="Times New Roman" w:cs="Times New Roman"/>
                <w:b/>
                <w:color w:val="000000"/>
                <w:sz w:val="24"/>
                <w:szCs w:val="24"/>
              </w:rPr>
              <w:t>Способен осуществлять андеррайтинг в страховой деятельности</w:t>
            </w:r>
          </w:p>
        </w:tc>
      </w:tr>
      <w:tr w:rsidR="00CB62C4">
        <w:trPr>
          <w:trHeight w:hRule="exact" w:val="585"/>
        </w:trPr>
        <w:tc>
          <w:tcPr>
            <w:tcW w:w="9654" w:type="dxa"/>
            <w:shd w:val="clear" w:color="000000" w:fill="FFFFFF"/>
            <w:tcMar>
              <w:left w:w="34" w:type="dxa"/>
              <w:right w:w="34" w:type="dxa"/>
            </w:tcMar>
          </w:tcPr>
          <w:p w:rsidR="00CB62C4" w:rsidRDefault="00CB62C4">
            <w:pPr>
              <w:spacing w:after="0" w:line="240" w:lineRule="auto"/>
              <w:rPr>
                <w:sz w:val="24"/>
                <w:szCs w:val="24"/>
              </w:rPr>
            </w:pPr>
          </w:p>
          <w:p w:rsidR="00CB62C4" w:rsidRDefault="00E340F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B62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ПК-1.4 знать способы и методы количественного и качественного анализа страховых рисков, основные факторы и условия, влияющие на убыточность</w:t>
            </w:r>
          </w:p>
        </w:tc>
      </w:tr>
      <w:tr w:rsidR="00CB62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ПК-1.10 уметь анализировать статистическую и иную доступную информацию по оценке страховых рисков, систематизировать информацию по степени влияния потенциальных рисков для уменьшения вероятности наступления страхового события</w:t>
            </w:r>
          </w:p>
        </w:tc>
      </w:tr>
      <w:tr w:rsidR="00CB62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ПК-1.14   владеть навыками расчетов уровня рисков, влияющих на вероятность наступления страховых событий,  анализом страховых рисков</w:t>
            </w:r>
          </w:p>
        </w:tc>
      </w:tr>
      <w:tr w:rsidR="00CB62C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ПК-1.15 владеть  навыками распределения рисков по объектам (договорам) с учетом вероятности наступления страхового события, ожидаемого убытка для подготовки заключения по оценке рисков, проверки условий договора страхования на соответствие требованиям страховой организации</w:t>
            </w:r>
          </w:p>
        </w:tc>
      </w:tr>
      <w:tr w:rsidR="00CB62C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ПК-1.16 владеть навыками подготовка сводного отчета об оценке уровня (категории) рисков по объектам (договорам) страхования для их страхования, перестрахования или отказа от страхования;  заключения по страхованию или отказу от страхования рисков по объекту (договору) страхования</w:t>
            </w:r>
          </w:p>
        </w:tc>
      </w:tr>
      <w:tr w:rsidR="00CB62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ПК-1.18 владеть навыками принятия решения о необходимости перестрахования рассчитанных рисков,  подготовки рекомендаций по уменьшению вероятности наступления страхового случая и минимизации убытков</w:t>
            </w:r>
          </w:p>
        </w:tc>
      </w:tr>
      <w:tr w:rsidR="00CB62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ПК-1.22 владеть навыками разработки предложений по оптимизации бизнес-процессов оценки страховых рисков и условий передачи договоров страхования в перестрахование</w:t>
            </w:r>
          </w:p>
        </w:tc>
      </w:tr>
      <w:tr w:rsidR="00CB62C4">
        <w:trPr>
          <w:trHeight w:hRule="exact" w:val="416"/>
        </w:trPr>
        <w:tc>
          <w:tcPr>
            <w:tcW w:w="9640" w:type="dxa"/>
          </w:tcPr>
          <w:p w:rsidR="00CB62C4" w:rsidRDefault="00CB62C4"/>
        </w:tc>
      </w:tr>
      <w:tr w:rsidR="00CB62C4">
        <w:trPr>
          <w:trHeight w:hRule="exact" w:val="304"/>
        </w:trPr>
        <w:tc>
          <w:tcPr>
            <w:tcW w:w="9654" w:type="dxa"/>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B62C4">
        <w:trPr>
          <w:trHeight w:hRule="exact" w:val="1366"/>
        </w:trPr>
        <w:tc>
          <w:tcPr>
            <w:tcW w:w="9654" w:type="dxa"/>
            <w:shd w:val="clear" w:color="000000" w:fill="FFFFFF"/>
            <w:tcMar>
              <w:left w:w="34" w:type="dxa"/>
              <w:right w:w="34" w:type="dxa"/>
            </w:tcMar>
          </w:tcPr>
          <w:p w:rsidR="00CB62C4" w:rsidRDefault="00CB62C4">
            <w:pPr>
              <w:spacing w:after="0" w:line="240" w:lineRule="auto"/>
              <w:jc w:val="both"/>
              <w:rPr>
                <w:sz w:val="24"/>
                <w:szCs w:val="24"/>
              </w:rPr>
            </w:pPr>
          </w:p>
          <w:p w:rsidR="00CB62C4" w:rsidRDefault="00E340FB">
            <w:pPr>
              <w:spacing w:after="0" w:line="240" w:lineRule="auto"/>
              <w:jc w:val="both"/>
              <w:rPr>
                <w:sz w:val="24"/>
                <w:szCs w:val="24"/>
              </w:rPr>
            </w:pPr>
            <w:r>
              <w:rPr>
                <w:rFonts w:ascii="Times New Roman" w:hAnsi="Times New Roman" w:cs="Times New Roman"/>
                <w:color w:val="000000"/>
                <w:sz w:val="24"/>
                <w:szCs w:val="24"/>
              </w:rPr>
              <w:t>Дисциплина К.М.03.05 «Финансовый анализ в страховании» относится к обязательной части, является дисциплиной Блока Б1. «Дисциплины (модули)». Модуль "Андеррайтер в страховой 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bl>
    <w:p w:rsidR="00CB62C4" w:rsidRDefault="00E340F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B62C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62C4" w:rsidRDefault="00E340F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62C4" w:rsidRDefault="00E340FB">
            <w:pPr>
              <w:spacing w:after="0" w:line="240" w:lineRule="auto"/>
              <w:jc w:val="center"/>
              <w:rPr>
                <w:sz w:val="24"/>
                <w:szCs w:val="24"/>
              </w:rPr>
            </w:pPr>
            <w:r>
              <w:rPr>
                <w:rFonts w:ascii="Times New Roman" w:hAnsi="Times New Roman" w:cs="Times New Roman"/>
                <w:color w:val="000000"/>
                <w:sz w:val="24"/>
                <w:szCs w:val="24"/>
              </w:rPr>
              <w:t>Коды</w:t>
            </w:r>
          </w:p>
          <w:p w:rsidR="00CB62C4" w:rsidRDefault="00E340FB">
            <w:pPr>
              <w:spacing w:after="0" w:line="240" w:lineRule="auto"/>
              <w:jc w:val="center"/>
              <w:rPr>
                <w:sz w:val="24"/>
                <w:szCs w:val="24"/>
              </w:rPr>
            </w:pPr>
            <w:r>
              <w:rPr>
                <w:rFonts w:ascii="Times New Roman" w:hAnsi="Times New Roman" w:cs="Times New Roman"/>
                <w:color w:val="000000"/>
                <w:sz w:val="24"/>
                <w:szCs w:val="24"/>
              </w:rPr>
              <w:t>форми-</w:t>
            </w:r>
          </w:p>
          <w:p w:rsidR="00CB62C4" w:rsidRDefault="00E340FB">
            <w:pPr>
              <w:spacing w:after="0" w:line="240" w:lineRule="auto"/>
              <w:jc w:val="center"/>
              <w:rPr>
                <w:sz w:val="24"/>
                <w:szCs w:val="24"/>
              </w:rPr>
            </w:pPr>
            <w:r>
              <w:rPr>
                <w:rFonts w:ascii="Times New Roman" w:hAnsi="Times New Roman" w:cs="Times New Roman"/>
                <w:color w:val="000000"/>
                <w:sz w:val="24"/>
                <w:szCs w:val="24"/>
              </w:rPr>
              <w:t>руемых</w:t>
            </w:r>
          </w:p>
          <w:p w:rsidR="00CB62C4" w:rsidRDefault="00E340FB">
            <w:pPr>
              <w:spacing w:after="0" w:line="240" w:lineRule="auto"/>
              <w:jc w:val="center"/>
              <w:rPr>
                <w:sz w:val="24"/>
                <w:szCs w:val="24"/>
              </w:rPr>
            </w:pPr>
            <w:r>
              <w:rPr>
                <w:rFonts w:ascii="Times New Roman" w:hAnsi="Times New Roman" w:cs="Times New Roman"/>
                <w:color w:val="000000"/>
                <w:sz w:val="24"/>
                <w:szCs w:val="24"/>
              </w:rPr>
              <w:t>компе-</w:t>
            </w:r>
          </w:p>
          <w:p w:rsidR="00CB62C4" w:rsidRDefault="00E340FB">
            <w:pPr>
              <w:spacing w:after="0" w:line="240" w:lineRule="auto"/>
              <w:jc w:val="center"/>
              <w:rPr>
                <w:sz w:val="24"/>
                <w:szCs w:val="24"/>
              </w:rPr>
            </w:pPr>
            <w:r>
              <w:rPr>
                <w:rFonts w:ascii="Times New Roman" w:hAnsi="Times New Roman" w:cs="Times New Roman"/>
                <w:color w:val="000000"/>
                <w:sz w:val="24"/>
                <w:szCs w:val="24"/>
              </w:rPr>
              <w:t>тенций</w:t>
            </w:r>
          </w:p>
        </w:tc>
      </w:tr>
      <w:tr w:rsidR="00CB62C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62C4" w:rsidRDefault="00E340F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62C4" w:rsidRDefault="00CB62C4"/>
        </w:tc>
      </w:tr>
      <w:tr w:rsidR="00CB62C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62C4" w:rsidRDefault="00E340F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62C4" w:rsidRDefault="00E340F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62C4" w:rsidRDefault="00CB62C4"/>
        </w:tc>
      </w:tr>
      <w:tr w:rsidR="00CB62C4">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62C4" w:rsidRDefault="00E340FB">
            <w:pPr>
              <w:spacing w:after="0" w:line="240" w:lineRule="auto"/>
              <w:jc w:val="center"/>
            </w:pPr>
            <w:r>
              <w:rPr>
                <w:rFonts w:ascii="Times New Roman" w:hAnsi="Times New Roman" w:cs="Times New Roman"/>
                <w:color w:val="000000"/>
              </w:rPr>
              <w:t>Основы страхового бизнеса</w:t>
            </w:r>
          </w:p>
          <w:p w:rsidR="00CB62C4" w:rsidRDefault="00E340FB">
            <w:pPr>
              <w:spacing w:after="0" w:line="240" w:lineRule="auto"/>
              <w:jc w:val="center"/>
            </w:pPr>
            <w:r>
              <w:rPr>
                <w:rFonts w:ascii="Times New Roman" w:hAnsi="Times New Roman" w:cs="Times New Roman"/>
                <w:color w:val="000000"/>
              </w:rPr>
              <w:t>Организация и управление страховой деятельности</w:t>
            </w:r>
          </w:p>
          <w:p w:rsidR="00CB62C4" w:rsidRDefault="00E340FB">
            <w:pPr>
              <w:spacing w:after="0" w:line="240" w:lineRule="auto"/>
              <w:jc w:val="center"/>
            </w:pPr>
            <w:r>
              <w:rPr>
                <w:rFonts w:ascii="Times New Roman" w:hAnsi="Times New Roman" w:cs="Times New Roman"/>
                <w:color w:val="000000"/>
              </w:rPr>
              <w:t>Финансовый менеджмент</w:t>
            </w:r>
          </w:p>
          <w:p w:rsidR="00CB62C4" w:rsidRDefault="00E340FB">
            <w:pPr>
              <w:spacing w:after="0" w:line="240" w:lineRule="auto"/>
              <w:jc w:val="center"/>
            </w:pPr>
            <w:r>
              <w:rPr>
                <w:rFonts w:ascii="Times New Roman" w:hAnsi="Times New Roman" w:cs="Times New Roman"/>
                <w:color w:val="000000"/>
              </w:rPr>
              <w:t>Финансы страховых компаний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62C4" w:rsidRDefault="00E340FB">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3)</w:t>
            </w:r>
          </w:p>
          <w:p w:rsidR="00CB62C4" w:rsidRDefault="00E340FB">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CB62C4" w:rsidRDefault="00E340FB">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62C4" w:rsidRDefault="00E340FB">
            <w:pPr>
              <w:spacing w:after="0" w:line="240" w:lineRule="auto"/>
              <w:jc w:val="center"/>
              <w:rPr>
                <w:sz w:val="24"/>
                <w:szCs w:val="24"/>
              </w:rPr>
            </w:pPr>
            <w:r>
              <w:rPr>
                <w:rFonts w:ascii="Times New Roman" w:hAnsi="Times New Roman" w:cs="Times New Roman"/>
                <w:color w:val="000000"/>
                <w:sz w:val="24"/>
                <w:szCs w:val="24"/>
              </w:rPr>
              <w:t>ПК-1</w:t>
            </w:r>
          </w:p>
        </w:tc>
      </w:tr>
      <w:tr w:rsidR="00CB62C4">
        <w:trPr>
          <w:trHeight w:hRule="exact" w:val="138"/>
        </w:trPr>
        <w:tc>
          <w:tcPr>
            <w:tcW w:w="3970" w:type="dxa"/>
          </w:tcPr>
          <w:p w:rsidR="00CB62C4" w:rsidRDefault="00CB62C4"/>
        </w:tc>
        <w:tc>
          <w:tcPr>
            <w:tcW w:w="1702" w:type="dxa"/>
          </w:tcPr>
          <w:p w:rsidR="00CB62C4" w:rsidRDefault="00CB62C4"/>
        </w:tc>
        <w:tc>
          <w:tcPr>
            <w:tcW w:w="1702" w:type="dxa"/>
          </w:tcPr>
          <w:p w:rsidR="00CB62C4" w:rsidRDefault="00CB62C4"/>
        </w:tc>
        <w:tc>
          <w:tcPr>
            <w:tcW w:w="426" w:type="dxa"/>
          </w:tcPr>
          <w:p w:rsidR="00CB62C4" w:rsidRDefault="00CB62C4"/>
        </w:tc>
        <w:tc>
          <w:tcPr>
            <w:tcW w:w="710" w:type="dxa"/>
          </w:tcPr>
          <w:p w:rsidR="00CB62C4" w:rsidRDefault="00CB62C4"/>
        </w:tc>
        <w:tc>
          <w:tcPr>
            <w:tcW w:w="143" w:type="dxa"/>
          </w:tcPr>
          <w:p w:rsidR="00CB62C4" w:rsidRDefault="00CB62C4"/>
        </w:tc>
        <w:tc>
          <w:tcPr>
            <w:tcW w:w="993" w:type="dxa"/>
          </w:tcPr>
          <w:p w:rsidR="00CB62C4" w:rsidRDefault="00CB62C4"/>
        </w:tc>
      </w:tr>
      <w:tr w:rsidR="00CB62C4">
        <w:trPr>
          <w:trHeight w:hRule="exact" w:val="1125"/>
        </w:trPr>
        <w:tc>
          <w:tcPr>
            <w:tcW w:w="9654" w:type="dxa"/>
            <w:gridSpan w:val="7"/>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B62C4">
        <w:trPr>
          <w:trHeight w:hRule="exact" w:val="585"/>
        </w:trPr>
        <w:tc>
          <w:tcPr>
            <w:tcW w:w="9654" w:type="dxa"/>
            <w:gridSpan w:val="7"/>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CB62C4" w:rsidRDefault="00E340FB">
            <w:pPr>
              <w:spacing w:after="0" w:line="240" w:lineRule="auto"/>
              <w:jc w:val="center"/>
              <w:rPr>
                <w:sz w:val="24"/>
                <w:szCs w:val="24"/>
              </w:rPr>
            </w:pPr>
            <w:r>
              <w:rPr>
                <w:rFonts w:ascii="Times New Roman" w:hAnsi="Times New Roman" w:cs="Times New Roman"/>
                <w:color w:val="000000"/>
                <w:sz w:val="24"/>
                <w:szCs w:val="24"/>
              </w:rPr>
              <w:t>Из них:</w:t>
            </w:r>
          </w:p>
        </w:tc>
      </w:tr>
      <w:tr w:rsidR="00CB62C4">
        <w:trPr>
          <w:trHeight w:hRule="exact" w:val="138"/>
        </w:trPr>
        <w:tc>
          <w:tcPr>
            <w:tcW w:w="3970" w:type="dxa"/>
          </w:tcPr>
          <w:p w:rsidR="00CB62C4" w:rsidRDefault="00CB62C4"/>
        </w:tc>
        <w:tc>
          <w:tcPr>
            <w:tcW w:w="1702" w:type="dxa"/>
          </w:tcPr>
          <w:p w:rsidR="00CB62C4" w:rsidRDefault="00CB62C4"/>
        </w:tc>
        <w:tc>
          <w:tcPr>
            <w:tcW w:w="1702" w:type="dxa"/>
          </w:tcPr>
          <w:p w:rsidR="00CB62C4" w:rsidRDefault="00CB62C4"/>
        </w:tc>
        <w:tc>
          <w:tcPr>
            <w:tcW w:w="426" w:type="dxa"/>
          </w:tcPr>
          <w:p w:rsidR="00CB62C4" w:rsidRDefault="00CB62C4"/>
        </w:tc>
        <w:tc>
          <w:tcPr>
            <w:tcW w:w="710" w:type="dxa"/>
          </w:tcPr>
          <w:p w:rsidR="00CB62C4" w:rsidRDefault="00CB62C4"/>
        </w:tc>
        <w:tc>
          <w:tcPr>
            <w:tcW w:w="143" w:type="dxa"/>
          </w:tcPr>
          <w:p w:rsidR="00CB62C4" w:rsidRDefault="00CB62C4"/>
        </w:tc>
        <w:tc>
          <w:tcPr>
            <w:tcW w:w="993" w:type="dxa"/>
          </w:tcPr>
          <w:p w:rsidR="00CB62C4" w:rsidRDefault="00CB62C4"/>
        </w:tc>
      </w:tr>
      <w:tr w:rsidR="00CB62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90</w:t>
            </w:r>
          </w:p>
        </w:tc>
      </w:tr>
      <w:tr w:rsidR="00CB62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36</w:t>
            </w:r>
          </w:p>
        </w:tc>
      </w:tr>
      <w:tr w:rsidR="00CB62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0</w:t>
            </w:r>
          </w:p>
        </w:tc>
      </w:tr>
      <w:tr w:rsidR="00CB62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36</w:t>
            </w:r>
          </w:p>
        </w:tc>
      </w:tr>
      <w:tr w:rsidR="00CB62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18</w:t>
            </w:r>
          </w:p>
        </w:tc>
      </w:tr>
      <w:tr w:rsidR="00CB62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88</w:t>
            </w:r>
          </w:p>
        </w:tc>
      </w:tr>
      <w:tr w:rsidR="00CB62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36</w:t>
            </w:r>
          </w:p>
        </w:tc>
      </w:tr>
      <w:tr w:rsidR="00CB62C4">
        <w:trPr>
          <w:trHeight w:hRule="exact" w:val="416"/>
        </w:trPr>
        <w:tc>
          <w:tcPr>
            <w:tcW w:w="3970" w:type="dxa"/>
          </w:tcPr>
          <w:p w:rsidR="00CB62C4" w:rsidRDefault="00CB62C4"/>
        </w:tc>
        <w:tc>
          <w:tcPr>
            <w:tcW w:w="1702" w:type="dxa"/>
          </w:tcPr>
          <w:p w:rsidR="00CB62C4" w:rsidRDefault="00CB62C4"/>
        </w:tc>
        <w:tc>
          <w:tcPr>
            <w:tcW w:w="1702" w:type="dxa"/>
          </w:tcPr>
          <w:p w:rsidR="00CB62C4" w:rsidRDefault="00CB62C4"/>
        </w:tc>
        <w:tc>
          <w:tcPr>
            <w:tcW w:w="426" w:type="dxa"/>
          </w:tcPr>
          <w:p w:rsidR="00CB62C4" w:rsidRDefault="00CB62C4"/>
        </w:tc>
        <w:tc>
          <w:tcPr>
            <w:tcW w:w="710" w:type="dxa"/>
          </w:tcPr>
          <w:p w:rsidR="00CB62C4" w:rsidRDefault="00CB62C4"/>
        </w:tc>
        <w:tc>
          <w:tcPr>
            <w:tcW w:w="143" w:type="dxa"/>
          </w:tcPr>
          <w:p w:rsidR="00CB62C4" w:rsidRDefault="00CB62C4"/>
        </w:tc>
        <w:tc>
          <w:tcPr>
            <w:tcW w:w="993" w:type="dxa"/>
          </w:tcPr>
          <w:p w:rsidR="00CB62C4" w:rsidRDefault="00CB62C4"/>
        </w:tc>
      </w:tr>
      <w:tr w:rsidR="00CB62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экзамены 7</w:t>
            </w:r>
          </w:p>
        </w:tc>
      </w:tr>
      <w:tr w:rsidR="00CB62C4">
        <w:trPr>
          <w:trHeight w:hRule="exact" w:val="277"/>
        </w:trPr>
        <w:tc>
          <w:tcPr>
            <w:tcW w:w="3970" w:type="dxa"/>
          </w:tcPr>
          <w:p w:rsidR="00CB62C4" w:rsidRDefault="00CB62C4"/>
        </w:tc>
        <w:tc>
          <w:tcPr>
            <w:tcW w:w="1702" w:type="dxa"/>
          </w:tcPr>
          <w:p w:rsidR="00CB62C4" w:rsidRDefault="00CB62C4"/>
        </w:tc>
        <w:tc>
          <w:tcPr>
            <w:tcW w:w="1702" w:type="dxa"/>
          </w:tcPr>
          <w:p w:rsidR="00CB62C4" w:rsidRDefault="00CB62C4"/>
        </w:tc>
        <w:tc>
          <w:tcPr>
            <w:tcW w:w="426" w:type="dxa"/>
          </w:tcPr>
          <w:p w:rsidR="00CB62C4" w:rsidRDefault="00CB62C4"/>
        </w:tc>
        <w:tc>
          <w:tcPr>
            <w:tcW w:w="710" w:type="dxa"/>
          </w:tcPr>
          <w:p w:rsidR="00CB62C4" w:rsidRDefault="00CB62C4"/>
        </w:tc>
        <w:tc>
          <w:tcPr>
            <w:tcW w:w="143" w:type="dxa"/>
          </w:tcPr>
          <w:p w:rsidR="00CB62C4" w:rsidRDefault="00CB62C4"/>
        </w:tc>
        <w:tc>
          <w:tcPr>
            <w:tcW w:w="993" w:type="dxa"/>
          </w:tcPr>
          <w:p w:rsidR="00CB62C4" w:rsidRDefault="00CB62C4"/>
        </w:tc>
      </w:tr>
      <w:tr w:rsidR="00CB62C4">
        <w:trPr>
          <w:trHeight w:hRule="exact" w:val="1666"/>
        </w:trPr>
        <w:tc>
          <w:tcPr>
            <w:tcW w:w="9654" w:type="dxa"/>
            <w:gridSpan w:val="7"/>
            <w:shd w:val="clear" w:color="000000" w:fill="FFFFFF"/>
            <w:tcMar>
              <w:left w:w="34" w:type="dxa"/>
              <w:right w:w="34" w:type="dxa"/>
            </w:tcMar>
          </w:tcPr>
          <w:p w:rsidR="00CB62C4" w:rsidRDefault="00CB62C4">
            <w:pPr>
              <w:spacing w:after="0" w:line="240" w:lineRule="auto"/>
              <w:jc w:val="center"/>
              <w:rPr>
                <w:sz w:val="24"/>
                <w:szCs w:val="24"/>
              </w:rPr>
            </w:pPr>
          </w:p>
          <w:p w:rsidR="00CB62C4" w:rsidRDefault="00E340F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B62C4" w:rsidRDefault="00CB62C4">
            <w:pPr>
              <w:spacing w:after="0" w:line="240" w:lineRule="auto"/>
              <w:jc w:val="center"/>
              <w:rPr>
                <w:sz w:val="24"/>
                <w:szCs w:val="24"/>
              </w:rPr>
            </w:pPr>
          </w:p>
          <w:p w:rsidR="00CB62C4" w:rsidRDefault="00E340F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B62C4">
        <w:trPr>
          <w:trHeight w:hRule="exact" w:val="416"/>
        </w:trPr>
        <w:tc>
          <w:tcPr>
            <w:tcW w:w="3970" w:type="dxa"/>
          </w:tcPr>
          <w:p w:rsidR="00CB62C4" w:rsidRDefault="00CB62C4"/>
        </w:tc>
        <w:tc>
          <w:tcPr>
            <w:tcW w:w="1702" w:type="dxa"/>
          </w:tcPr>
          <w:p w:rsidR="00CB62C4" w:rsidRDefault="00CB62C4"/>
        </w:tc>
        <w:tc>
          <w:tcPr>
            <w:tcW w:w="1702" w:type="dxa"/>
          </w:tcPr>
          <w:p w:rsidR="00CB62C4" w:rsidRDefault="00CB62C4"/>
        </w:tc>
        <w:tc>
          <w:tcPr>
            <w:tcW w:w="426" w:type="dxa"/>
          </w:tcPr>
          <w:p w:rsidR="00CB62C4" w:rsidRDefault="00CB62C4"/>
        </w:tc>
        <w:tc>
          <w:tcPr>
            <w:tcW w:w="710" w:type="dxa"/>
          </w:tcPr>
          <w:p w:rsidR="00CB62C4" w:rsidRDefault="00CB62C4"/>
        </w:tc>
        <w:tc>
          <w:tcPr>
            <w:tcW w:w="143" w:type="dxa"/>
          </w:tcPr>
          <w:p w:rsidR="00CB62C4" w:rsidRDefault="00CB62C4"/>
        </w:tc>
        <w:tc>
          <w:tcPr>
            <w:tcW w:w="993" w:type="dxa"/>
          </w:tcPr>
          <w:p w:rsidR="00CB62C4" w:rsidRDefault="00CB62C4"/>
        </w:tc>
      </w:tr>
      <w:tr w:rsidR="00CB62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62C4" w:rsidRDefault="00E340F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62C4" w:rsidRDefault="00E340F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62C4" w:rsidRDefault="00E340F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62C4" w:rsidRDefault="00E340FB">
            <w:pPr>
              <w:spacing w:after="0" w:line="240" w:lineRule="auto"/>
              <w:jc w:val="center"/>
              <w:rPr>
                <w:sz w:val="24"/>
                <w:szCs w:val="24"/>
              </w:rPr>
            </w:pPr>
            <w:r>
              <w:rPr>
                <w:rFonts w:ascii="Times New Roman" w:hAnsi="Times New Roman" w:cs="Times New Roman"/>
                <w:color w:val="000000"/>
                <w:sz w:val="24"/>
                <w:szCs w:val="24"/>
              </w:rPr>
              <w:t>Часов</w:t>
            </w:r>
          </w:p>
        </w:tc>
      </w:tr>
      <w:tr w:rsidR="00CB62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62C4" w:rsidRDefault="00E340FB">
            <w:pPr>
              <w:spacing w:after="0" w:line="240" w:lineRule="auto"/>
              <w:rPr>
                <w:sz w:val="24"/>
                <w:szCs w:val="24"/>
              </w:rPr>
            </w:pPr>
            <w:r>
              <w:rPr>
                <w:rFonts w:ascii="Times New Roman" w:hAnsi="Times New Roman" w:cs="Times New Roman"/>
                <w:b/>
                <w:color w:val="000000"/>
                <w:sz w:val="24"/>
                <w:szCs w:val="24"/>
              </w:rPr>
              <w:t>Методология финансового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62C4" w:rsidRDefault="00CB62C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62C4" w:rsidRDefault="00CB62C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62C4" w:rsidRDefault="00CB62C4"/>
        </w:tc>
      </w:tr>
      <w:tr w:rsidR="00CB62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Общие положения финансового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6</w:t>
            </w:r>
          </w:p>
        </w:tc>
      </w:tr>
      <w:tr w:rsidR="00CB62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Анализ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4</w:t>
            </w:r>
          </w:p>
        </w:tc>
      </w:tr>
      <w:tr w:rsidR="00CB62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Анализ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6</w:t>
            </w:r>
          </w:p>
        </w:tc>
      </w:tr>
      <w:tr w:rsidR="00CB62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Анализ финансовых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4</w:t>
            </w:r>
          </w:p>
        </w:tc>
      </w:tr>
      <w:tr w:rsidR="00CB62C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Анализ финансовой устойчивости, ликвидности и платежеспособности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4</w:t>
            </w:r>
          </w:p>
        </w:tc>
      </w:tr>
      <w:tr w:rsidR="00CB62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Общие положения финанасового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6</w:t>
            </w:r>
          </w:p>
        </w:tc>
      </w:tr>
      <w:tr w:rsidR="00CB62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Анализ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4</w:t>
            </w:r>
          </w:p>
        </w:tc>
      </w:tr>
      <w:tr w:rsidR="00CB62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Анализ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6</w:t>
            </w:r>
          </w:p>
        </w:tc>
      </w:tr>
      <w:tr w:rsidR="00CB62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Анализ финансовых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4</w:t>
            </w:r>
          </w:p>
        </w:tc>
      </w:tr>
      <w:tr w:rsidR="00CB62C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Анализ финансовой устойчивости, ликвидности и платежеспособности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6</w:t>
            </w:r>
          </w:p>
        </w:tc>
      </w:tr>
      <w:tr w:rsidR="00CB62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Общие положения финансового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2</w:t>
            </w:r>
          </w:p>
        </w:tc>
      </w:tr>
      <w:tr w:rsidR="00CB62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Анализ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2</w:t>
            </w:r>
          </w:p>
        </w:tc>
      </w:tr>
      <w:tr w:rsidR="00CB62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Анализ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3</w:t>
            </w:r>
          </w:p>
        </w:tc>
      </w:tr>
      <w:tr w:rsidR="00CB62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Анализ финансовых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2</w:t>
            </w:r>
          </w:p>
        </w:tc>
      </w:tr>
    </w:tbl>
    <w:p w:rsidR="00CB62C4" w:rsidRDefault="00E340F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B62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lastRenderedPageBreak/>
              <w:t>Анализ финансовой устойчивости, ликвидности и платежеспособности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3</w:t>
            </w:r>
          </w:p>
        </w:tc>
      </w:tr>
      <w:tr w:rsidR="00CB62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62C4" w:rsidRDefault="00E340FB">
            <w:pPr>
              <w:spacing w:after="0" w:line="240" w:lineRule="auto"/>
              <w:rPr>
                <w:sz w:val="24"/>
                <w:szCs w:val="24"/>
              </w:rPr>
            </w:pPr>
            <w:r>
              <w:rPr>
                <w:rFonts w:ascii="Times New Roman" w:hAnsi="Times New Roman" w:cs="Times New Roman"/>
                <w:b/>
                <w:color w:val="000000"/>
                <w:sz w:val="24"/>
                <w:szCs w:val="24"/>
              </w:rPr>
              <w:t>Оценка рисков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62C4" w:rsidRDefault="00CB62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62C4" w:rsidRDefault="00CB62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62C4" w:rsidRDefault="00CB62C4"/>
        </w:tc>
      </w:tr>
      <w:tr w:rsidR="00CB62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Менеджмент  андеррайтинга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4</w:t>
            </w:r>
          </w:p>
        </w:tc>
      </w:tr>
      <w:tr w:rsidR="00CB62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Общие положения риск-менеджмента в страховом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4</w:t>
            </w:r>
          </w:p>
        </w:tc>
      </w:tr>
      <w:tr w:rsidR="00CB62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Управление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4</w:t>
            </w:r>
          </w:p>
        </w:tc>
      </w:tr>
      <w:tr w:rsidR="00CB62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Менеджмент  андеррайтинга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4</w:t>
            </w:r>
          </w:p>
        </w:tc>
      </w:tr>
      <w:tr w:rsidR="00CB62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Общие положения риск-менеджмента в страховом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2</w:t>
            </w:r>
          </w:p>
        </w:tc>
      </w:tr>
      <w:tr w:rsidR="00CB62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Управление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4</w:t>
            </w:r>
          </w:p>
        </w:tc>
      </w:tr>
      <w:tr w:rsidR="00CB62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CB62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88</w:t>
            </w:r>
          </w:p>
        </w:tc>
      </w:tr>
      <w:tr w:rsidR="00CB62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Менеджмент  андеррайтинга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3</w:t>
            </w:r>
          </w:p>
        </w:tc>
      </w:tr>
      <w:tr w:rsidR="00CB62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Общие положения риск-менеджмента в страховом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1</w:t>
            </w:r>
          </w:p>
        </w:tc>
      </w:tr>
      <w:tr w:rsidR="00CB62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Управление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2</w:t>
            </w:r>
          </w:p>
        </w:tc>
      </w:tr>
      <w:tr w:rsidR="00CB62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CB62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36</w:t>
            </w:r>
          </w:p>
        </w:tc>
      </w:tr>
      <w:tr w:rsidR="00CB62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CB62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2</w:t>
            </w:r>
          </w:p>
        </w:tc>
      </w:tr>
      <w:tr w:rsidR="00CB62C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CB62C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CB62C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color w:val="000000"/>
                <w:sz w:val="24"/>
                <w:szCs w:val="24"/>
              </w:rPr>
              <w:t>216</w:t>
            </w:r>
          </w:p>
        </w:tc>
      </w:tr>
      <w:tr w:rsidR="00CB62C4">
        <w:trPr>
          <w:trHeight w:hRule="exact" w:val="9727"/>
        </w:trPr>
        <w:tc>
          <w:tcPr>
            <w:tcW w:w="9654" w:type="dxa"/>
            <w:gridSpan w:val="4"/>
            <w:shd w:val="clear" w:color="000000" w:fill="FFFFFF"/>
            <w:tcMar>
              <w:left w:w="34" w:type="dxa"/>
              <w:right w:w="34" w:type="dxa"/>
            </w:tcMar>
          </w:tcPr>
          <w:p w:rsidR="00CB62C4" w:rsidRDefault="00CB62C4">
            <w:pPr>
              <w:spacing w:after="0" w:line="240" w:lineRule="auto"/>
              <w:jc w:val="both"/>
              <w:rPr>
                <w:sz w:val="20"/>
                <w:szCs w:val="20"/>
              </w:rPr>
            </w:pPr>
          </w:p>
          <w:p w:rsidR="00CB62C4" w:rsidRDefault="00E340FB">
            <w:pPr>
              <w:spacing w:after="0" w:line="240" w:lineRule="auto"/>
              <w:jc w:val="both"/>
              <w:rPr>
                <w:sz w:val="20"/>
                <w:szCs w:val="20"/>
              </w:rPr>
            </w:pPr>
            <w:r>
              <w:rPr>
                <w:rFonts w:ascii="Times New Roman" w:hAnsi="Times New Roman" w:cs="Times New Roman"/>
                <w:color w:val="000000"/>
                <w:sz w:val="20"/>
                <w:szCs w:val="20"/>
              </w:rPr>
              <w:t>* Примечания:</w:t>
            </w:r>
          </w:p>
          <w:p w:rsidR="00CB62C4" w:rsidRDefault="00E340F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B62C4" w:rsidRDefault="00E340F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B62C4" w:rsidRDefault="00E340F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B62C4" w:rsidRDefault="00E340F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B62C4" w:rsidRDefault="00E340F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B62C4" w:rsidRDefault="00E340F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CB62C4" w:rsidRDefault="00E340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62C4">
        <w:trPr>
          <w:trHeight w:hRule="exact" w:val="8128"/>
        </w:trPr>
        <w:tc>
          <w:tcPr>
            <w:tcW w:w="9654" w:type="dxa"/>
            <w:shd w:val="clear" w:color="000000" w:fill="FFFFFF"/>
            <w:tcMar>
              <w:left w:w="34" w:type="dxa"/>
              <w:right w:w="34" w:type="dxa"/>
            </w:tcMar>
          </w:tcPr>
          <w:p w:rsidR="00CB62C4" w:rsidRDefault="00E340FB">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B62C4" w:rsidRDefault="00E340F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B62C4" w:rsidRDefault="00E340F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B62C4">
        <w:trPr>
          <w:trHeight w:hRule="exact" w:val="585"/>
        </w:trPr>
        <w:tc>
          <w:tcPr>
            <w:tcW w:w="9654" w:type="dxa"/>
            <w:shd w:val="clear" w:color="000000" w:fill="FFFFFF"/>
            <w:tcMar>
              <w:left w:w="34" w:type="dxa"/>
              <w:right w:w="34" w:type="dxa"/>
            </w:tcMar>
          </w:tcPr>
          <w:p w:rsidR="00CB62C4" w:rsidRDefault="00CB62C4">
            <w:pPr>
              <w:spacing w:after="0" w:line="240" w:lineRule="auto"/>
              <w:rPr>
                <w:sz w:val="24"/>
                <w:szCs w:val="24"/>
              </w:rPr>
            </w:pPr>
          </w:p>
          <w:p w:rsidR="00CB62C4" w:rsidRDefault="00E340F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B62C4">
        <w:trPr>
          <w:trHeight w:hRule="exact" w:val="277"/>
        </w:trPr>
        <w:tc>
          <w:tcPr>
            <w:tcW w:w="9654" w:type="dxa"/>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B62C4">
        <w:trPr>
          <w:trHeight w:hRule="exact" w:val="26"/>
        </w:trPr>
        <w:tc>
          <w:tcPr>
            <w:tcW w:w="9654" w:type="dxa"/>
            <w:vMerge w:val="restart"/>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b/>
                <w:color w:val="000000"/>
                <w:sz w:val="24"/>
                <w:szCs w:val="24"/>
              </w:rPr>
              <w:t>Общие положения финансового анализа</w:t>
            </w:r>
          </w:p>
        </w:tc>
      </w:tr>
      <w:tr w:rsidR="00CB62C4">
        <w:trPr>
          <w:trHeight w:hRule="exact" w:val="277"/>
        </w:trPr>
        <w:tc>
          <w:tcPr>
            <w:tcW w:w="9654" w:type="dxa"/>
            <w:vMerge/>
            <w:shd w:val="clear" w:color="000000" w:fill="FFFFFF"/>
            <w:tcMar>
              <w:left w:w="34" w:type="dxa"/>
              <w:right w:w="34" w:type="dxa"/>
            </w:tcMar>
          </w:tcPr>
          <w:p w:rsidR="00CB62C4" w:rsidRDefault="00CB62C4"/>
        </w:tc>
      </w:tr>
      <w:tr w:rsidR="00CB62C4">
        <w:trPr>
          <w:trHeight w:hRule="exact" w:val="826"/>
        </w:trPr>
        <w:tc>
          <w:tcPr>
            <w:tcW w:w="9654" w:type="dxa"/>
            <w:shd w:val="clear" w:color="000000" w:fill="FFFFFF"/>
            <w:tcMar>
              <w:left w:w="34" w:type="dxa"/>
              <w:right w:w="34" w:type="dxa"/>
            </w:tcMar>
          </w:tcPr>
          <w:p w:rsidR="00CB62C4" w:rsidRDefault="00E340FB">
            <w:pPr>
              <w:spacing w:after="0" w:line="240" w:lineRule="auto"/>
              <w:jc w:val="both"/>
              <w:rPr>
                <w:sz w:val="24"/>
                <w:szCs w:val="24"/>
              </w:rPr>
            </w:pPr>
            <w:r>
              <w:rPr>
                <w:rFonts w:ascii="Times New Roman" w:hAnsi="Times New Roman" w:cs="Times New Roman"/>
                <w:color w:val="000000"/>
                <w:sz w:val="24"/>
                <w:szCs w:val="24"/>
              </w:rPr>
              <w:t>Сущность финансового анализа; виды и методы финансового анализа;определение анализа деятельности в страховании; цели и задачи финансового анализа в страховании, направления финансового анализа страховой организации</w:t>
            </w:r>
          </w:p>
        </w:tc>
      </w:tr>
      <w:tr w:rsidR="00CB62C4">
        <w:trPr>
          <w:trHeight w:hRule="exact" w:val="304"/>
        </w:trPr>
        <w:tc>
          <w:tcPr>
            <w:tcW w:w="9654" w:type="dxa"/>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b/>
                <w:color w:val="000000"/>
                <w:sz w:val="24"/>
                <w:szCs w:val="24"/>
              </w:rPr>
              <w:t>Анализ доходов и расходов</w:t>
            </w:r>
          </w:p>
        </w:tc>
      </w:tr>
      <w:tr w:rsidR="00CB62C4">
        <w:trPr>
          <w:trHeight w:hRule="exact" w:val="555"/>
        </w:trPr>
        <w:tc>
          <w:tcPr>
            <w:tcW w:w="9654" w:type="dxa"/>
            <w:shd w:val="clear" w:color="000000" w:fill="FFFFFF"/>
            <w:tcMar>
              <w:left w:w="34" w:type="dxa"/>
              <w:right w:w="34" w:type="dxa"/>
            </w:tcMar>
          </w:tcPr>
          <w:p w:rsidR="00CB62C4" w:rsidRDefault="00E340FB">
            <w:pPr>
              <w:spacing w:after="0" w:line="240" w:lineRule="auto"/>
              <w:jc w:val="both"/>
              <w:rPr>
                <w:sz w:val="24"/>
                <w:szCs w:val="24"/>
              </w:rPr>
            </w:pPr>
            <w:r>
              <w:rPr>
                <w:rFonts w:ascii="Times New Roman" w:hAnsi="Times New Roman" w:cs="Times New Roman"/>
                <w:color w:val="000000"/>
                <w:sz w:val="24"/>
                <w:szCs w:val="24"/>
              </w:rPr>
              <w:t>Анализ структуры доходов, анализ доходов в динамике, анализ структуры расходов, анализ расходов в динамике</w:t>
            </w:r>
          </w:p>
        </w:tc>
      </w:tr>
      <w:tr w:rsidR="00CB62C4">
        <w:trPr>
          <w:trHeight w:hRule="exact" w:val="304"/>
        </w:trPr>
        <w:tc>
          <w:tcPr>
            <w:tcW w:w="9654" w:type="dxa"/>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b/>
                <w:color w:val="000000"/>
                <w:sz w:val="24"/>
                <w:szCs w:val="24"/>
              </w:rPr>
              <w:t>Анализ бухгалтерской отчетности</w:t>
            </w:r>
          </w:p>
        </w:tc>
      </w:tr>
      <w:tr w:rsidR="00CB62C4">
        <w:trPr>
          <w:trHeight w:hRule="exact" w:val="555"/>
        </w:trPr>
        <w:tc>
          <w:tcPr>
            <w:tcW w:w="9654" w:type="dxa"/>
            <w:shd w:val="clear" w:color="000000" w:fill="FFFFFF"/>
            <w:tcMar>
              <w:left w:w="34" w:type="dxa"/>
              <w:right w:w="34" w:type="dxa"/>
            </w:tcMar>
          </w:tcPr>
          <w:p w:rsidR="00CB62C4" w:rsidRDefault="00E340FB">
            <w:pPr>
              <w:spacing w:after="0" w:line="240" w:lineRule="auto"/>
              <w:jc w:val="both"/>
              <w:rPr>
                <w:sz w:val="24"/>
                <w:szCs w:val="24"/>
              </w:rPr>
            </w:pPr>
            <w:r>
              <w:rPr>
                <w:rFonts w:ascii="Times New Roman" w:hAnsi="Times New Roman" w:cs="Times New Roman"/>
                <w:color w:val="000000"/>
                <w:sz w:val="24"/>
                <w:szCs w:val="24"/>
              </w:rPr>
              <w:t>Анализ структуры статей баланса, анализ динамики средств на основании бухгалтерского баланса</w:t>
            </w:r>
          </w:p>
        </w:tc>
      </w:tr>
      <w:tr w:rsidR="00CB62C4">
        <w:trPr>
          <w:trHeight w:hRule="exact" w:val="304"/>
        </w:trPr>
        <w:tc>
          <w:tcPr>
            <w:tcW w:w="9654" w:type="dxa"/>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b/>
                <w:color w:val="000000"/>
                <w:sz w:val="24"/>
                <w:szCs w:val="24"/>
              </w:rPr>
              <w:t>Анализ финансовых результатов</w:t>
            </w:r>
          </w:p>
        </w:tc>
      </w:tr>
      <w:tr w:rsidR="00CB62C4">
        <w:trPr>
          <w:trHeight w:hRule="exact" w:val="555"/>
        </w:trPr>
        <w:tc>
          <w:tcPr>
            <w:tcW w:w="9654" w:type="dxa"/>
            <w:shd w:val="clear" w:color="000000" w:fill="FFFFFF"/>
            <w:tcMar>
              <w:left w:w="34" w:type="dxa"/>
              <w:right w:w="34" w:type="dxa"/>
            </w:tcMar>
          </w:tcPr>
          <w:p w:rsidR="00CB62C4" w:rsidRDefault="00E340FB">
            <w:pPr>
              <w:spacing w:after="0" w:line="240" w:lineRule="auto"/>
              <w:jc w:val="both"/>
              <w:rPr>
                <w:sz w:val="24"/>
                <w:szCs w:val="24"/>
              </w:rPr>
            </w:pPr>
            <w:r>
              <w:rPr>
                <w:rFonts w:ascii="Times New Roman" w:hAnsi="Times New Roman" w:cs="Times New Roman"/>
                <w:color w:val="000000"/>
                <w:sz w:val="24"/>
                <w:szCs w:val="24"/>
              </w:rPr>
              <w:t>Понятие финансового результата,учет финансовых результатов, механизм формирования прибыли</w:t>
            </w:r>
          </w:p>
        </w:tc>
      </w:tr>
      <w:tr w:rsidR="00CB62C4">
        <w:trPr>
          <w:trHeight w:hRule="exact" w:val="304"/>
        </w:trPr>
        <w:tc>
          <w:tcPr>
            <w:tcW w:w="9654" w:type="dxa"/>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b/>
                <w:color w:val="000000"/>
                <w:sz w:val="24"/>
                <w:szCs w:val="24"/>
              </w:rPr>
              <w:t>Анализ финансовой устойчивости, ликвидности и платежеспособности</w:t>
            </w:r>
          </w:p>
        </w:tc>
      </w:tr>
      <w:tr w:rsidR="00CB62C4">
        <w:trPr>
          <w:trHeight w:hRule="exact" w:val="555"/>
        </w:trPr>
        <w:tc>
          <w:tcPr>
            <w:tcW w:w="9654" w:type="dxa"/>
            <w:shd w:val="clear" w:color="000000" w:fill="FFFFFF"/>
            <w:tcMar>
              <w:left w:w="34" w:type="dxa"/>
              <w:right w:w="34" w:type="dxa"/>
            </w:tcMar>
          </w:tcPr>
          <w:p w:rsidR="00CB62C4" w:rsidRDefault="00E340FB">
            <w:pPr>
              <w:spacing w:after="0" w:line="240" w:lineRule="auto"/>
              <w:jc w:val="both"/>
              <w:rPr>
                <w:sz w:val="24"/>
                <w:szCs w:val="24"/>
              </w:rPr>
            </w:pPr>
            <w:r>
              <w:rPr>
                <w:rFonts w:ascii="Times New Roman" w:hAnsi="Times New Roman" w:cs="Times New Roman"/>
                <w:color w:val="000000"/>
                <w:sz w:val="24"/>
                <w:szCs w:val="24"/>
              </w:rPr>
              <w:t>Понятия финансой устойчивости, ликвидности и платежеспособности; показатели финансовой устойчивости, ликвидности и платежеспособности</w:t>
            </w:r>
          </w:p>
        </w:tc>
      </w:tr>
      <w:tr w:rsidR="00CB62C4">
        <w:trPr>
          <w:trHeight w:hRule="exact" w:val="304"/>
        </w:trPr>
        <w:tc>
          <w:tcPr>
            <w:tcW w:w="9654" w:type="dxa"/>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b/>
                <w:color w:val="000000"/>
                <w:sz w:val="24"/>
                <w:szCs w:val="24"/>
              </w:rPr>
              <w:t>Менеджмент  андеррайтинга</w:t>
            </w:r>
          </w:p>
        </w:tc>
      </w:tr>
      <w:tr w:rsidR="00CB62C4">
        <w:trPr>
          <w:trHeight w:hRule="exact" w:val="555"/>
        </w:trPr>
        <w:tc>
          <w:tcPr>
            <w:tcW w:w="9654" w:type="dxa"/>
            <w:shd w:val="clear" w:color="000000" w:fill="FFFFFF"/>
            <w:tcMar>
              <w:left w:w="34" w:type="dxa"/>
              <w:right w:w="34" w:type="dxa"/>
            </w:tcMar>
          </w:tcPr>
          <w:p w:rsidR="00CB62C4" w:rsidRDefault="00E340FB">
            <w:pPr>
              <w:spacing w:after="0" w:line="240" w:lineRule="auto"/>
              <w:jc w:val="both"/>
              <w:rPr>
                <w:sz w:val="24"/>
                <w:szCs w:val="24"/>
              </w:rPr>
            </w:pPr>
            <w:r>
              <w:rPr>
                <w:rFonts w:ascii="Times New Roman" w:hAnsi="Times New Roman" w:cs="Times New Roman"/>
                <w:color w:val="000000"/>
                <w:sz w:val="24"/>
                <w:szCs w:val="24"/>
              </w:rPr>
              <w:t>Андеррайтинг в страховом предпринимательстве, андеррайтерская работа по уровням управления рисками, процедура андерайтинга различных страховых продуктов</w:t>
            </w:r>
          </w:p>
        </w:tc>
      </w:tr>
      <w:tr w:rsidR="00CB62C4">
        <w:trPr>
          <w:trHeight w:hRule="exact" w:val="304"/>
        </w:trPr>
        <w:tc>
          <w:tcPr>
            <w:tcW w:w="9654" w:type="dxa"/>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b/>
                <w:color w:val="000000"/>
                <w:sz w:val="24"/>
                <w:szCs w:val="24"/>
              </w:rPr>
              <w:t>Общие положения риск-менеджмента в страховом предпринимательстве</w:t>
            </w:r>
          </w:p>
        </w:tc>
      </w:tr>
      <w:tr w:rsidR="00CB62C4">
        <w:trPr>
          <w:trHeight w:hRule="exact" w:val="285"/>
        </w:trPr>
        <w:tc>
          <w:tcPr>
            <w:tcW w:w="9654" w:type="dxa"/>
            <w:shd w:val="clear" w:color="000000" w:fill="FFFFFF"/>
            <w:tcMar>
              <w:left w:w="34" w:type="dxa"/>
              <w:right w:w="34" w:type="dxa"/>
            </w:tcMar>
          </w:tcPr>
          <w:p w:rsidR="00CB62C4" w:rsidRDefault="00E340FB">
            <w:pPr>
              <w:spacing w:after="0" w:line="240" w:lineRule="auto"/>
              <w:jc w:val="both"/>
              <w:rPr>
                <w:sz w:val="24"/>
                <w:szCs w:val="24"/>
              </w:rPr>
            </w:pPr>
            <w:r>
              <w:rPr>
                <w:rFonts w:ascii="Times New Roman" w:hAnsi="Times New Roman" w:cs="Times New Roman"/>
                <w:color w:val="000000"/>
                <w:sz w:val="24"/>
                <w:szCs w:val="24"/>
              </w:rPr>
              <w:t>Сущность и факторы риска, классификация рисков, сущность риск-менеджмента</w:t>
            </w:r>
          </w:p>
        </w:tc>
      </w:tr>
      <w:tr w:rsidR="00CB62C4">
        <w:trPr>
          <w:trHeight w:hRule="exact" w:val="304"/>
        </w:trPr>
        <w:tc>
          <w:tcPr>
            <w:tcW w:w="9654" w:type="dxa"/>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b/>
                <w:color w:val="000000"/>
                <w:sz w:val="24"/>
                <w:szCs w:val="24"/>
              </w:rPr>
              <w:t>Управление рисками</w:t>
            </w:r>
          </w:p>
        </w:tc>
      </w:tr>
    </w:tbl>
    <w:p w:rsidR="00CB62C4" w:rsidRDefault="00E340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62C4">
        <w:trPr>
          <w:trHeight w:hRule="exact" w:val="555"/>
        </w:trPr>
        <w:tc>
          <w:tcPr>
            <w:tcW w:w="9654" w:type="dxa"/>
            <w:shd w:val="clear" w:color="000000" w:fill="FFFFFF"/>
            <w:tcMar>
              <w:left w:w="34" w:type="dxa"/>
              <w:right w:w="34" w:type="dxa"/>
            </w:tcMar>
          </w:tcPr>
          <w:p w:rsidR="00CB62C4" w:rsidRDefault="00E340FB">
            <w:pPr>
              <w:spacing w:after="0" w:line="240" w:lineRule="auto"/>
              <w:jc w:val="both"/>
              <w:rPr>
                <w:sz w:val="24"/>
                <w:szCs w:val="24"/>
              </w:rPr>
            </w:pPr>
            <w:r>
              <w:rPr>
                <w:rFonts w:ascii="Times New Roman" w:hAnsi="Times New Roman" w:cs="Times New Roman"/>
                <w:color w:val="000000"/>
                <w:sz w:val="24"/>
                <w:szCs w:val="24"/>
              </w:rPr>
              <w:lastRenderedPageBreak/>
              <w:t>Методы оценки рисков, система управления рисками страхователя, модель взаимосвязи процессов управления рисками и страховой защиты</w:t>
            </w:r>
          </w:p>
        </w:tc>
      </w:tr>
      <w:tr w:rsidR="00CB62C4">
        <w:trPr>
          <w:trHeight w:hRule="exact" w:val="277"/>
        </w:trPr>
        <w:tc>
          <w:tcPr>
            <w:tcW w:w="9654" w:type="dxa"/>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B62C4">
        <w:trPr>
          <w:trHeight w:hRule="exact" w:val="14"/>
        </w:trPr>
        <w:tc>
          <w:tcPr>
            <w:tcW w:w="9640" w:type="dxa"/>
          </w:tcPr>
          <w:p w:rsidR="00CB62C4" w:rsidRDefault="00CB62C4"/>
        </w:tc>
      </w:tr>
      <w:tr w:rsidR="00CB62C4">
        <w:trPr>
          <w:trHeight w:hRule="exact" w:val="304"/>
        </w:trPr>
        <w:tc>
          <w:tcPr>
            <w:tcW w:w="9654" w:type="dxa"/>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b/>
                <w:color w:val="000000"/>
                <w:sz w:val="24"/>
                <w:szCs w:val="24"/>
              </w:rPr>
              <w:t>Общие положения финанасового анализа</w:t>
            </w:r>
          </w:p>
        </w:tc>
      </w:tr>
      <w:tr w:rsidR="00CB62C4">
        <w:trPr>
          <w:trHeight w:hRule="exact" w:val="555"/>
        </w:trPr>
        <w:tc>
          <w:tcPr>
            <w:tcW w:w="9654" w:type="dxa"/>
            <w:shd w:val="clear" w:color="000000" w:fill="FFFFFF"/>
            <w:tcMar>
              <w:left w:w="34" w:type="dxa"/>
              <w:right w:w="34" w:type="dxa"/>
            </w:tcMar>
          </w:tcPr>
          <w:p w:rsidR="00CB62C4" w:rsidRDefault="00E340FB">
            <w:pPr>
              <w:spacing w:after="0" w:line="240" w:lineRule="auto"/>
              <w:jc w:val="both"/>
              <w:rPr>
                <w:sz w:val="24"/>
                <w:szCs w:val="24"/>
              </w:rPr>
            </w:pPr>
            <w:r>
              <w:rPr>
                <w:rFonts w:ascii="Times New Roman" w:hAnsi="Times New Roman" w:cs="Times New Roman"/>
                <w:color w:val="000000"/>
                <w:sz w:val="24"/>
                <w:szCs w:val="24"/>
              </w:rPr>
              <w:t>Виды и методы финансового анализа;направления финансового анализа страховой организации</w:t>
            </w:r>
          </w:p>
        </w:tc>
      </w:tr>
      <w:tr w:rsidR="00CB62C4">
        <w:trPr>
          <w:trHeight w:hRule="exact" w:val="14"/>
        </w:trPr>
        <w:tc>
          <w:tcPr>
            <w:tcW w:w="9640" w:type="dxa"/>
          </w:tcPr>
          <w:p w:rsidR="00CB62C4" w:rsidRDefault="00CB62C4"/>
        </w:tc>
      </w:tr>
      <w:tr w:rsidR="00CB62C4">
        <w:trPr>
          <w:trHeight w:hRule="exact" w:val="304"/>
        </w:trPr>
        <w:tc>
          <w:tcPr>
            <w:tcW w:w="9654" w:type="dxa"/>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b/>
                <w:color w:val="000000"/>
                <w:sz w:val="24"/>
                <w:szCs w:val="24"/>
              </w:rPr>
              <w:t>Анализ доходов и расходов</w:t>
            </w:r>
          </w:p>
        </w:tc>
      </w:tr>
      <w:tr w:rsidR="00CB62C4">
        <w:trPr>
          <w:trHeight w:hRule="exact" w:val="555"/>
        </w:trPr>
        <w:tc>
          <w:tcPr>
            <w:tcW w:w="9654" w:type="dxa"/>
            <w:shd w:val="clear" w:color="000000" w:fill="FFFFFF"/>
            <w:tcMar>
              <w:left w:w="34" w:type="dxa"/>
              <w:right w:w="34" w:type="dxa"/>
            </w:tcMar>
          </w:tcPr>
          <w:p w:rsidR="00CB62C4" w:rsidRDefault="00E340FB">
            <w:pPr>
              <w:spacing w:after="0" w:line="240" w:lineRule="auto"/>
              <w:jc w:val="both"/>
              <w:rPr>
                <w:sz w:val="24"/>
                <w:szCs w:val="24"/>
              </w:rPr>
            </w:pPr>
            <w:r>
              <w:rPr>
                <w:rFonts w:ascii="Times New Roman" w:hAnsi="Times New Roman" w:cs="Times New Roman"/>
                <w:color w:val="000000"/>
                <w:sz w:val="24"/>
                <w:szCs w:val="24"/>
              </w:rPr>
              <w:t>Анализ структуры доходов, анализ доходов в динамике, анализ структуры расходов, анализ расходов в динамике</w:t>
            </w:r>
          </w:p>
        </w:tc>
      </w:tr>
      <w:tr w:rsidR="00CB62C4">
        <w:trPr>
          <w:trHeight w:hRule="exact" w:val="14"/>
        </w:trPr>
        <w:tc>
          <w:tcPr>
            <w:tcW w:w="9640" w:type="dxa"/>
          </w:tcPr>
          <w:p w:rsidR="00CB62C4" w:rsidRDefault="00CB62C4"/>
        </w:tc>
      </w:tr>
      <w:tr w:rsidR="00CB62C4">
        <w:trPr>
          <w:trHeight w:hRule="exact" w:val="304"/>
        </w:trPr>
        <w:tc>
          <w:tcPr>
            <w:tcW w:w="9654" w:type="dxa"/>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b/>
                <w:color w:val="000000"/>
                <w:sz w:val="24"/>
                <w:szCs w:val="24"/>
              </w:rPr>
              <w:t>Анализ бухгалтерской отчетности</w:t>
            </w:r>
          </w:p>
        </w:tc>
      </w:tr>
      <w:tr w:rsidR="00CB62C4">
        <w:trPr>
          <w:trHeight w:hRule="exact" w:val="555"/>
        </w:trPr>
        <w:tc>
          <w:tcPr>
            <w:tcW w:w="9654" w:type="dxa"/>
            <w:shd w:val="clear" w:color="000000" w:fill="FFFFFF"/>
            <w:tcMar>
              <w:left w:w="34" w:type="dxa"/>
              <w:right w:w="34" w:type="dxa"/>
            </w:tcMar>
          </w:tcPr>
          <w:p w:rsidR="00CB62C4" w:rsidRDefault="00E340FB">
            <w:pPr>
              <w:spacing w:after="0" w:line="240" w:lineRule="auto"/>
              <w:jc w:val="both"/>
              <w:rPr>
                <w:sz w:val="24"/>
                <w:szCs w:val="24"/>
              </w:rPr>
            </w:pPr>
            <w:r>
              <w:rPr>
                <w:rFonts w:ascii="Times New Roman" w:hAnsi="Times New Roman" w:cs="Times New Roman"/>
                <w:color w:val="000000"/>
                <w:sz w:val="24"/>
                <w:szCs w:val="24"/>
              </w:rPr>
              <w:t>Анализ структуры статей баланса, анализ динамики средств на основании бухгалтерского баланса</w:t>
            </w:r>
          </w:p>
        </w:tc>
      </w:tr>
      <w:tr w:rsidR="00CB62C4">
        <w:trPr>
          <w:trHeight w:hRule="exact" w:val="14"/>
        </w:trPr>
        <w:tc>
          <w:tcPr>
            <w:tcW w:w="9640" w:type="dxa"/>
          </w:tcPr>
          <w:p w:rsidR="00CB62C4" w:rsidRDefault="00CB62C4"/>
        </w:tc>
      </w:tr>
      <w:tr w:rsidR="00CB62C4">
        <w:trPr>
          <w:trHeight w:hRule="exact" w:val="304"/>
        </w:trPr>
        <w:tc>
          <w:tcPr>
            <w:tcW w:w="9654" w:type="dxa"/>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b/>
                <w:color w:val="000000"/>
                <w:sz w:val="24"/>
                <w:szCs w:val="24"/>
              </w:rPr>
              <w:t>Анализ финансовых результатов</w:t>
            </w:r>
          </w:p>
        </w:tc>
      </w:tr>
      <w:tr w:rsidR="00CB62C4">
        <w:trPr>
          <w:trHeight w:hRule="exact" w:val="555"/>
        </w:trPr>
        <w:tc>
          <w:tcPr>
            <w:tcW w:w="9654" w:type="dxa"/>
            <w:shd w:val="clear" w:color="000000" w:fill="FFFFFF"/>
            <w:tcMar>
              <w:left w:w="34" w:type="dxa"/>
              <w:right w:w="34" w:type="dxa"/>
            </w:tcMar>
          </w:tcPr>
          <w:p w:rsidR="00CB62C4" w:rsidRDefault="00E340FB">
            <w:pPr>
              <w:spacing w:after="0" w:line="240" w:lineRule="auto"/>
              <w:jc w:val="both"/>
              <w:rPr>
                <w:sz w:val="24"/>
                <w:szCs w:val="24"/>
              </w:rPr>
            </w:pPr>
            <w:r>
              <w:rPr>
                <w:rFonts w:ascii="Times New Roman" w:hAnsi="Times New Roman" w:cs="Times New Roman"/>
                <w:color w:val="000000"/>
                <w:sz w:val="24"/>
                <w:szCs w:val="24"/>
              </w:rPr>
              <w:t>Анализ динамики финансовых результатов, маржинальный анализ прибыли, графический способ</w:t>
            </w:r>
          </w:p>
        </w:tc>
      </w:tr>
      <w:tr w:rsidR="00CB62C4">
        <w:trPr>
          <w:trHeight w:hRule="exact" w:val="14"/>
        </w:trPr>
        <w:tc>
          <w:tcPr>
            <w:tcW w:w="9640" w:type="dxa"/>
          </w:tcPr>
          <w:p w:rsidR="00CB62C4" w:rsidRDefault="00CB62C4"/>
        </w:tc>
      </w:tr>
      <w:tr w:rsidR="00CB62C4">
        <w:trPr>
          <w:trHeight w:hRule="exact" w:val="304"/>
        </w:trPr>
        <w:tc>
          <w:tcPr>
            <w:tcW w:w="9654" w:type="dxa"/>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b/>
                <w:color w:val="000000"/>
                <w:sz w:val="24"/>
                <w:szCs w:val="24"/>
              </w:rPr>
              <w:t>Анализ финансовой устойчивости, ликвидности и платежеспособности</w:t>
            </w:r>
          </w:p>
        </w:tc>
      </w:tr>
      <w:tr w:rsidR="00CB62C4">
        <w:trPr>
          <w:trHeight w:hRule="exact" w:val="555"/>
        </w:trPr>
        <w:tc>
          <w:tcPr>
            <w:tcW w:w="9654" w:type="dxa"/>
            <w:shd w:val="clear" w:color="000000" w:fill="FFFFFF"/>
            <w:tcMar>
              <w:left w:w="34" w:type="dxa"/>
              <w:right w:w="34" w:type="dxa"/>
            </w:tcMar>
          </w:tcPr>
          <w:p w:rsidR="00CB62C4" w:rsidRDefault="00E340FB">
            <w:pPr>
              <w:spacing w:after="0" w:line="240" w:lineRule="auto"/>
              <w:jc w:val="both"/>
              <w:rPr>
                <w:sz w:val="24"/>
                <w:szCs w:val="24"/>
              </w:rPr>
            </w:pPr>
            <w:r>
              <w:rPr>
                <w:rFonts w:ascii="Times New Roman" w:hAnsi="Times New Roman" w:cs="Times New Roman"/>
                <w:color w:val="000000"/>
                <w:sz w:val="24"/>
                <w:szCs w:val="24"/>
              </w:rPr>
              <w:t>Расчет показателей финансовой устойчивости, ликвидности и платежеспособности</w:t>
            </w:r>
          </w:p>
        </w:tc>
      </w:tr>
      <w:tr w:rsidR="00CB62C4">
        <w:trPr>
          <w:trHeight w:hRule="exact" w:val="14"/>
        </w:trPr>
        <w:tc>
          <w:tcPr>
            <w:tcW w:w="9640" w:type="dxa"/>
          </w:tcPr>
          <w:p w:rsidR="00CB62C4" w:rsidRDefault="00CB62C4"/>
        </w:tc>
      </w:tr>
      <w:tr w:rsidR="00CB62C4">
        <w:trPr>
          <w:trHeight w:hRule="exact" w:val="304"/>
        </w:trPr>
        <w:tc>
          <w:tcPr>
            <w:tcW w:w="9654" w:type="dxa"/>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b/>
                <w:color w:val="000000"/>
                <w:sz w:val="24"/>
                <w:szCs w:val="24"/>
              </w:rPr>
              <w:t>Менеджмент  андеррайтинга</w:t>
            </w:r>
          </w:p>
        </w:tc>
      </w:tr>
      <w:tr w:rsidR="00CB62C4">
        <w:trPr>
          <w:trHeight w:hRule="exact" w:val="555"/>
        </w:trPr>
        <w:tc>
          <w:tcPr>
            <w:tcW w:w="9654" w:type="dxa"/>
            <w:shd w:val="clear" w:color="000000" w:fill="FFFFFF"/>
            <w:tcMar>
              <w:left w:w="34" w:type="dxa"/>
              <w:right w:w="34" w:type="dxa"/>
            </w:tcMar>
          </w:tcPr>
          <w:p w:rsidR="00CB62C4" w:rsidRDefault="00E340FB">
            <w:pPr>
              <w:spacing w:after="0" w:line="240" w:lineRule="auto"/>
              <w:jc w:val="both"/>
              <w:rPr>
                <w:sz w:val="24"/>
                <w:szCs w:val="24"/>
              </w:rPr>
            </w:pPr>
            <w:r>
              <w:rPr>
                <w:rFonts w:ascii="Times New Roman" w:hAnsi="Times New Roman" w:cs="Times New Roman"/>
                <w:color w:val="000000"/>
                <w:sz w:val="24"/>
                <w:szCs w:val="24"/>
              </w:rPr>
              <w:t>Андеррайтинг в страховом предпринимательстве, андеррайтерская работа по уровням управления рисками, процедура андерайтинга различных страховых продуктов</w:t>
            </w:r>
          </w:p>
        </w:tc>
      </w:tr>
      <w:tr w:rsidR="00CB62C4">
        <w:trPr>
          <w:trHeight w:hRule="exact" w:val="14"/>
        </w:trPr>
        <w:tc>
          <w:tcPr>
            <w:tcW w:w="9640" w:type="dxa"/>
          </w:tcPr>
          <w:p w:rsidR="00CB62C4" w:rsidRDefault="00CB62C4"/>
        </w:tc>
      </w:tr>
      <w:tr w:rsidR="00CB62C4">
        <w:trPr>
          <w:trHeight w:hRule="exact" w:val="304"/>
        </w:trPr>
        <w:tc>
          <w:tcPr>
            <w:tcW w:w="9654" w:type="dxa"/>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b/>
                <w:color w:val="000000"/>
                <w:sz w:val="24"/>
                <w:szCs w:val="24"/>
              </w:rPr>
              <w:t>Общие положения риск-менеджмента в страховом предпринимательстве</w:t>
            </w:r>
          </w:p>
        </w:tc>
      </w:tr>
      <w:tr w:rsidR="00CB62C4">
        <w:trPr>
          <w:trHeight w:hRule="exact" w:val="285"/>
        </w:trPr>
        <w:tc>
          <w:tcPr>
            <w:tcW w:w="9654" w:type="dxa"/>
            <w:shd w:val="clear" w:color="000000" w:fill="FFFFFF"/>
            <w:tcMar>
              <w:left w:w="34" w:type="dxa"/>
              <w:right w:w="34" w:type="dxa"/>
            </w:tcMar>
          </w:tcPr>
          <w:p w:rsidR="00CB62C4" w:rsidRDefault="00E340FB">
            <w:pPr>
              <w:spacing w:after="0" w:line="240" w:lineRule="auto"/>
              <w:jc w:val="both"/>
              <w:rPr>
                <w:sz w:val="24"/>
                <w:szCs w:val="24"/>
              </w:rPr>
            </w:pPr>
            <w:r>
              <w:rPr>
                <w:rFonts w:ascii="Times New Roman" w:hAnsi="Times New Roman" w:cs="Times New Roman"/>
                <w:color w:val="000000"/>
                <w:sz w:val="24"/>
                <w:szCs w:val="24"/>
              </w:rPr>
              <w:t>Сущность и факторы риска, классификация рисков, сущность риск-менеджмента</w:t>
            </w:r>
          </w:p>
        </w:tc>
      </w:tr>
      <w:tr w:rsidR="00CB62C4">
        <w:trPr>
          <w:trHeight w:hRule="exact" w:val="14"/>
        </w:trPr>
        <w:tc>
          <w:tcPr>
            <w:tcW w:w="9640" w:type="dxa"/>
          </w:tcPr>
          <w:p w:rsidR="00CB62C4" w:rsidRDefault="00CB62C4"/>
        </w:tc>
      </w:tr>
      <w:tr w:rsidR="00CB62C4">
        <w:trPr>
          <w:trHeight w:hRule="exact" w:val="304"/>
        </w:trPr>
        <w:tc>
          <w:tcPr>
            <w:tcW w:w="9654" w:type="dxa"/>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b/>
                <w:color w:val="000000"/>
                <w:sz w:val="24"/>
                <w:szCs w:val="24"/>
              </w:rPr>
              <w:t>Управление рисками</w:t>
            </w:r>
          </w:p>
        </w:tc>
      </w:tr>
      <w:tr w:rsidR="00CB62C4">
        <w:trPr>
          <w:trHeight w:hRule="exact" w:val="555"/>
        </w:trPr>
        <w:tc>
          <w:tcPr>
            <w:tcW w:w="9654" w:type="dxa"/>
            <w:shd w:val="clear" w:color="000000" w:fill="FFFFFF"/>
            <w:tcMar>
              <w:left w:w="34" w:type="dxa"/>
              <w:right w:w="34" w:type="dxa"/>
            </w:tcMar>
          </w:tcPr>
          <w:p w:rsidR="00CB62C4" w:rsidRDefault="00E340FB">
            <w:pPr>
              <w:spacing w:after="0" w:line="240" w:lineRule="auto"/>
              <w:jc w:val="both"/>
              <w:rPr>
                <w:sz w:val="24"/>
                <w:szCs w:val="24"/>
              </w:rPr>
            </w:pPr>
            <w:r>
              <w:rPr>
                <w:rFonts w:ascii="Times New Roman" w:hAnsi="Times New Roman" w:cs="Times New Roman"/>
                <w:color w:val="000000"/>
                <w:sz w:val="24"/>
                <w:szCs w:val="24"/>
              </w:rPr>
              <w:t>Методы оценки рисков, система управления рисками страхователя, модель взаимосвязи процессов управления рисками и страховой защиты</w:t>
            </w:r>
          </w:p>
        </w:tc>
      </w:tr>
      <w:tr w:rsidR="00CB62C4">
        <w:trPr>
          <w:trHeight w:hRule="exact" w:val="277"/>
        </w:trPr>
        <w:tc>
          <w:tcPr>
            <w:tcW w:w="9654" w:type="dxa"/>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B62C4">
        <w:trPr>
          <w:trHeight w:hRule="exact" w:val="146"/>
        </w:trPr>
        <w:tc>
          <w:tcPr>
            <w:tcW w:w="9640" w:type="dxa"/>
          </w:tcPr>
          <w:p w:rsidR="00CB62C4" w:rsidRDefault="00CB62C4"/>
        </w:tc>
      </w:tr>
      <w:tr w:rsidR="00CB62C4">
        <w:trPr>
          <w:trHeight w:hRule="exact" w:val="314"/>
        </w:trPr>
        <w:tc>
          <w:tcPr>
            <w:tcW w:w="9654" w:type="dxa"/>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b/>
                <w:color w:val="000000"/>
                <w:sz w:val="24"/>
                <w:szCs w:val="24"/>
              </w:rPr>
              <w:t>Общие положения финансового анализа</w:t>
            </w:r>
          </w:p>
        </w:tc>
      </w:tr>
      <w:tr w:rsidR="00CB62C4">
        <w:trPr>
          <w:trHeight w:hRule="exact" w:val="21"/>
        </w:trPr>
        <w:tc>
          <w:tcPr>
            <w:tcW w:w="9640" w:type="dxa"/>
          </w:tcPr>
          <w:p w:rsidR="00CB62C4" w:rsidRDefault="00CB62C4"/>
        </w:tc>
      </w:tr>
      <w:tr w:rsidR="00CB62C4">
        <w:trPr>
          <w:trHeight w:hRule="exact" w:val="585"/>
        </w:trPr>
        <w:tc>
          <w:tcPr>
            <w:tcW w:w="9654" w:type="dxa"/>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Виды и методы финансового анализа;направления финансового анализа страховой организации</w:t>
            </w:r>
          </w:p>
        </w:tc>
      </w:tr>
      <w:tr w:rsidR="00CB62C4">
        <w:trPr>
          <w:trHeight w:hRule="exact" w:val="8"/>
        </w:trPr>
        <w:tc>
          <w:tcPr>
            <w:tcW w:w="9640" w:type="dxa"/>
          </w:tcPr>
          <w:p w:rsidR="00CB62C4" w:rsidRDefault="00CB62C4"/>
        </w:tc>
      </w:tr>
      <w:tr w:rsidR="00CB62C4">
        <w:trPr>
          <w:trHeight w:hRule="exact" w:val="314"/>
        </w:trPr>
        <w:tc>
          <w:tcPr>
            <w:tcW w:w="9654" w:type="dxa"/>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b/>
                <w:color w:val="000000"/>
                <w:sz w:val="24"/>
                <w:szCs w:val="24"/>
              </w:rPr>
              <w:t>Анализ доходов и расходов</w:t>
            </w:r>
          </w:p>
        </w:tc>
      </w:tr>
      <w:tr w:rsidR="00CB62C4">
        <w:trPr>
          <w:trHeight w:hRule="exact" w:val="21"/>
        </w:trPr>
        <w:tc>
          <w:tcPr>
            <w:tcW w:w="9640" w:type="dxa"/>
          </w:tcPr>
          <w:p w:rsidR="00CB62C4" w:rsidRDefault="00CB62C4"/>
        </w:tc>
      </w:tr>
      <w:tr w:rsidR="00CB62C4">
        <w:trPr>
          <w:trHeight w:hRule="exact" w:val="585"/>
        </w:trPr>
        <w:tc>
          <w:tcPr>
            <w:tcW w:w="9654" w:type="dxa"/>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Анализ структуры доходов, анализ доходов в динамике, анализ структуры расходов, анализ расходов в динамике</w:t>
            </w:r>
          </w:p>
        </w:tc>
      </w:tr>
      <w:tr w:rsidR="00CB62C4">
        <w:trPr>
          <w:trHeight w:hRule="exact" w:val="8"/>
        </w:trPr>
        <w:tc>
          <w:tcPr>
            <w:tcW w:w="9640" w:type="dxa"/>
          </w:tcPr>
          <w:p w:rsidR="00CB62C4" w:rsidRDefault="00CB62C4"/>
        </w:tc>
      </w:tr>
      <w:tr w:rsidR="00CB62C4">
        <w:trPr>
          <w:trHeight w:hRule="exact" w:val="314"/>
        </w:trPr>
        <w:tc>
          <w:tcPr>
            <w:tcW w:w="9654" w:type="dxa"/>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b/>
                <w:color w:val="000000"/>
                <w:sz w:val="24"/>
                <w:szCs w:val="24"/>
              </w:rPr>
              <w:t>Анализ бухгалтерской отчетности</w:t>
            </w:r>
          </w:p>
        </w:tc>
      </w:tr>
      <w:tr w:rsidR="00CB62C4">
        <w:trPr>
          <w:trHeight w:hRule="exact" w:val="21"/>
        </w:trPr>
        <w:tc>
          <w:tcPr>
            <w:tcW w:w="9640" w:type="dxa"/>
          </w:tcPr>
          <w:p w:rsidR="00CB62C4" w:rsidRDefault="00CB62C4"/>
        </w:tc>
      </w:tr>
      <w:tr w:rsidR="00CB62C4">
        <w:trPr>
          <w:trHeight w:hRule="exact" w:val="585"/>
        </w:trPr>
        <w:tc>
          <w:tcPr>
            <w:tcW w:w="9654" w:type="dxa"/>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Анализ структуры статей баланса, анализ динамики средств на основании бухгалтерского баланса</w:t>
            </w:r>
          </w:p>
        </w:tc>
      </w:tr>
      <w:tr w:rsidR="00CB62C4">
        <w:trPr>
          <w:trHeight w:hRule="exact" w:val="8"/>
        </w:trPr>
        <w:tc>
          <w:tcPr>
            <w:tcW w:w="9640" w:type="dxa"/>
          </w:tcPr>
          <w:p w:rsidR="00CB62C4" w:rsidRDefault="00CB62C4"/>
        </w:tc>
      </w:tr>
      <w:tr w:rsidR="00CB62C4">
        <w:trPr>
          <w:trHeight w:hRule="exact" w:val="314"/>
        </w:trPr>
        <w:tc>
          <w:tcPr>
            <w:tcW w:w="9654" w:type="dxa"/>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b/>
                <w:color w:val="000000"/>
                <w:sz w:val="24"/>
                <w:szCs w:val="24"/>
              </w:rPr>
              <w:t>Анализ финансовых результатов</w:t>
            </w:r>
          </w:p>
        </w:tc>
      </w:tr>
      <w:tr w:rsidR="00CB62C4">
        <w:trPr>
          <w:trHeight w:hRule="exact" w:val="21"/>
        </w:trPr>
        <w:tc>
          <w:tcPr>
            <w:tcW w:w="9640" w:type="dxa"/>
          </w:tcPr>
          <w:p w:rsidR="00CB62C4" w:rsidRDefault="00CB62C4"/>
        </w:tc>
      </w:tr>
      <w:tr w:rsidR="00CB62C4">
        <w:trPr>
          <w:trHeight w:hRule="exact" w:val="585"/>
        </w:trPr>
        <w:tc>
          <w:tcPr>
            <w:tcW w:w="9654" w:type="dxa"/>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Анализ динамики финансовых результатов, маржинальный анализ прибыли, графический способ</w:t>
            </w:r>
          </w:p>
        </w:tc>
      </w:tr>
      <w:tr w:rsidR="00CB62C4">
        <w:trPr>
          <w:trHeight w:hRule="exact" w:val="8"/>
        </w:trPr>
        <w:tc>
          <w:tcPr>
            <w:tcW w:w="9640" w:type="dxa"/>
          </w:tcPr>
          <w:p w:rsidR="00CB62C4" w:rsidRDefault="00CB62C4"/>
        </w:tc>
      </w:tr>
      <w:tr w:rsidR="00CB62C4">
        <w:trPr>
          <w:trHeight w:hRule="exact" w:val="314"/>
        </w:trPr>
        <w:tc>
          <w:tcPr>
            <w:tcW w:w="9654" w:type="dxa"/>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b/>
                <w:color w:val="000000"/>
                <w:sz w:val="24"/>
                <w:szCs w:val="24"/>
              </w:rPr>
              <w:t>Анализ финансовой устойчивости, ликвидности и платежеспособности</w:t>
            </w:r>
          </w:p>
        </w:tc>
      </w:tr>
      <w:tr w:rsidR="00CB62C4">
        <w:trPr>
          <w:trHeight w:hRule="exact" w:val="21"/>
        </w:trPr>
        <w:tc>
          <w:tcPr>
            <w:tcW w:w="9640" w:type="dxa"/>
          </w:tcPr>
          <w:p w:rsidR="00CB62C4" w:rsidRDefault="00CB62C4"/>
        </w:tc>
      </w:tr>
      <w:tr w:rsidR="00CB62C4">
        <w:trPr>
          <w:trHeight w:hRule="exact" w:val="304"/>
        </w:trPr>
        <w:tc>
          <w:tcPr>
            <w:tcW w:w="9654" w:type="dxa"/>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Расчет показателей финансовой устойчивости, ликвидности и платежеспособности</w:t>
            </w:r>
          </w:p>
        </w:tc>
      </w:tr>
      <w:tr w:rsidR="00CB62C4">
        <w:trPr>
          <w:trHeight w:hRule="exact" w:val="8"/>
        </w:trPr>
        <w:tc>
          <w:tcPr>
            <w:tcW w:w="9640" w:type="dxa"/>
          </w:tcPr>
          <w:p w:rsidR="00CB62C4" w:rsidRDefault="00CB62C4"/>
        </w:tc>
      </w:tr>
      <w:tr w:rsidR="00CB62C4">
        <w:trPr>
          <w:trHeight w:hRule="exact" w:val="314"/>
        </w:trPr>
        <w:tc>
          <w:tcPr>
            <w:tcW w:w="9654" w:type="dxa"/>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b/>
                <w:color w:val="000000"/>
                <w:sz w:val="24"/>
                <w:szCs w:val="24"/>
              </w:rPr>
              <w:t>Менеджмент  андеррайтинга</w:t>
            </w:r>
          </w:p>
        </w:tc>
      </w:tr>
      <w:tr w:rsidR="00CB62C4">
        <w:trPr>
          <w:trHeight w:hRule="exact" w:val="21"/>
        </w:trPr>
        <w:tc>
          <w:tcPr>
            <w:tcW w:w="9640" w:type="dxa"/>
          </w:tcPr>
          <w:p w:rsidR="00CB62C4" w:rsidRDefault="00CB62C4"/>
        </w:tc>
      </w:tr>
      <w:tr w:rsidR="00CB62C4">
        <w:trPr>
          <w:trHeight w:hRule="exact" w:val="585"/>
        </w:trPr>
        <w:tc>
          <w:tcPr>
            <w:tcW w:w="9654" w:type="dxa"/>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Андеррайтинг в страховом предпринимательстве, андеррайтерская работа по уровням управления рисками, процедура андерайтинга различных страховых продуктов</w:t>
            </w:r>
          </w:p>
        </w:tc>
      </w:tr>
      <w:tr w:rsidR="00CB62C4">
        <w:trPr>
          <w:trHeight w:hRule="exact" w:val="8"/>
        </w:trPr>
        <w:tc>
          <w:tcPr>
            <w:tcW w:w="9640" w:type="dxa"/>
          </w:tcPr>
          <w:p w:rsidR="00CB62C4" w:rsidRDefault="00CB62C4"/>
        </w:tc>
      </w:tr>
      <w:tr w:rsidR="00CB62C4">
        <w:trPr>
          <w:trHeight w:hRule="exact" w:val="314"/>
        </w:trPr>
        <w:tc>
          <w:tcPr>
            <w:tcW w:w="9654" w:type="dxa"/>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b/>
                <w:color w:val="000000"/>
                <w:sz w:val="24"/>
                <w:szCs w:val="24"/>
              </w:rPr>
              <w:t>Общие положения риск-менеджмента в страховом предпринимательстве</w:t>
            </w:r>
          </w:p>
        </w:tc>
      </w:tr>
      <w:tr w:rsidR="00CB62C4">
        <w:trPr>
          <w:trHeight w:hRule="exact" w:val="21"/>
        </w:trPr>
        <w:tc>
          <w:tcPr>
            <w:tcW w:w="9640" w:type="dxa"/>
          </w:tcPr>
          <w:p w:rsidR="00CB62C4" w:rsidRDefault="00CB62C4"/>
        </w:tc>
      </w:tr>
      <w:tr w:rsidR="00CB62C4">
        <w:trPr>
          <w:trHeight w:hRule="exact" w:val="304"/>
        </w:trPr>
        <w:tc>
          <w:tcPr>
            <w:tcW w:w="9654" w:type="dxa"/>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Сущность и факторы риска, классификация рисков, сущность риск-менеджмента</w:t>
            </w:r>
          </w:p>
        </w:tc>
      </w:tr>
      <w:tr w:rsidR="00CB62C4">
        <w:trPr>
          <w:trHeight w:hRule="exact" w:val="8"/>
        </w:trPr>
        <w:tc>
          <w:tcPr>
            <w:tcW w:w="9640" w:type="dxa"/>
          </w:tcPr>
          <w:p w:rsidR="00CB62C4" w:rsidRDefault="00CB62C4"/>
        </w:tc>
      </w:tr>
      <w:tr w:rsidR="00CB62C4">
        <w:trPr>
          <w:trHeight w:hRule="exact" w:val="314"/>
        </w:trPr>
        <w:tc>
          <w:tcPr>
            <w:tcW w:w="9654" w:type="dxa"/>
            <w:shd w:val="clear" w:color="000000" w:fill="FFFFFF"/>
            <w:tcMar>
              <w:left w:w="34" w:type="dxa"/>
              <w:right w:w="34" w:type="dxa"/>
            </w:tcMar>
          </w:tcPr>
          <w:p w:rsidR="00CB62C4" w:rsidRDefault="00E340FB">
            <w:pPr>
              <w:spacing w:after="0" w:line="240" w:lineRule="auto"/>
              <w:jc w:val="center"/>
              <w:rPr>
                <w:sz w:val="24"/>
                <w:szCs w:val="24"/>
              </w:rPr>
            </w:pPr>
            <w:r>
              <w:rPr>
                <w:rFonts w:ascii="Times New Roman" w:hAnsi="Times New Roman" w:cs="Times New Roman"/>
                <w:b/>
                <w:color w:val="000000"/>
                <w:sz w:val="24"/>
                <w:szCs w:val="24"/>
              </w:rPr>
              <w:t>Управление рисками</w:t>
            </w:r>
          </w:p>
        </w:tc>
      </w:tr>
      <w:tr w:rsidR="00CB62C4">
        <w:trPr>
          <w:trHeight w:hRule="exact" w:val="21"/>
        </w:trPr>
        <w:tc>
          <w:tcPr>
            <w:tcW w:w="9640" w:type="dxa"/>
          </w:tcPr>
          <w:p w:rsidR="00CB62C4" w:rsidRDefault="00CB62C4"/>
        </w:tc>
      </w:tr>
      <w:tr w:rsidR="00CB62C4">
        <w:trPr>
          <w:trHeight w:hRule="exact" w:val="585"/>
        </w:trPr>
        <w:tc>
          <w:tcPr>
            <w:tcW w:w="9654" w:type="dxa"/>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Методы оценки рисков, система управления рисками страхователя, модель взаимосвязи процессов управления рисками и страховой защиты</w:t>
            </w:r>
          </w:p>
        </w:tc>
      </w:tr>
    </w:tbl>
    <w:p w:rsidR="00CB62C4" w:rsidRDefault="00E340F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B62C4">
        <w:trPr>
          <w:trHeight w:hRule="exact" w:val="855"/>
        </w:trPr>
        <w:tc>
          <w:tcPr>
            <w:tcW w:w="9654" w:type="dxa"/>
            <w:gridSpan w:val="2"/>
            <w:shd w:val="clear" w:color="000000" w:fill="FFFFFF"/>
            <w:tcMar>
              <w:left w:w="34" w:type="dxa"/>
              <w:right w:w="34" w:type="dxa"/>
            </w:tcMar>
          </w:tcPr>
          <w:p w:rsidR="00CB62C4" w:rsidRDefault="00CB62C4">
            <w:pPr>
              <w:spacing w:after="0" w:line="240" w:lineRule="auto"/>
              <w:rPr>
                <w:sz w:val="24"/>
                <w:szCs w:val="24"/>
              </w:rPr>
            </w:pPr>
          </w:p>
          <w:p w:rsidR="00CB62C4" w:rsidRDefault="00E340F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B62C4">
        <w:trPr>
          <w:trHeight w:hRule="exact" w:val="5182"/>
        </w:trPr>
        <w:tc>
          <w:tcPr>
            <w:tcW w:w="9654" w:type="dxa"/>
            <w:gridSpan w:val="2"/>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«Финансовый анализ в страховании» / Гавриленко Н.Г.. – Омск: Изд-во Омской гуманитарной академии, 2022.</w:t>
            </w:r>
          </w:p>
          <w:p w:rsidR="00CB62C4" w:rsidRDefault="00E340F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B62C4" w:rsidRDefault="00E340F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B62C4" w:rsidRDefault="00E340F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B62C4">
        <w:trPr>
          <w:trHeight w:hRule="exact" w:val="138"/>
        </w:trPr>
        <w:tc>
          <w:tcPr>
            <w:tcW w:w="285" w:type="dxa"/>
          </w:tcPr>
          <w:p w:rsidR="00CB62C4" w:rsidRDefault="00CB62C4"/>
        </w:tc>
        <w:tc>
          <w:tcPr>
            <w:tcW w:w="9356" w:type="dxa"/>
          </w:tcPr>
          <w:p w:rsidR="00CB62C4" w:rsidRDefault="00CB62C4"/>
        </w:tc>
      </w:tr>
      <w:tr w:rsidR="00CB62C4">
        <w:trPr>
          <w:trHeight w:hRule="exact" w:val="855"/>
        </w:trPr>
        <w:tc>
          <w:tcPr>
            <w:tcW w:w="9654" w:type="dxa"/>
            <w:gridSpan w:val="2"/>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B62C4" w:rsidRDefault="00E340FB">
            <w:pPr>
              <w:spacing w:after="0" w:line="240" w:lineRule="auto"/>
              <w:rPr>
                <w:sz w:val="24"/>
                <w:szCs w:val="24"/>
              </w:rPr>
            </w:pPr>
            <w:r>
              <w:rPr>
                <w:rFonts w:ascii="Times New Roman" w:hAnsi="Times New Roman" w:cs="Times New Roman"/>
                <w:b/>
                <w:color w:val="000000"/>
                <w:sz w:val="24"/>
                <w:szCs w:val="24"/>
              </w:rPr>
              <w:t>Основная:</w:t>
            </w:r>
          </w:p>
        </w:tc>
      </w:tr>
      <w:tr w:rsidR="00CB62C4">
        <w:trPr>
          <w:trHeight w:hRule="exact" w:val="1366"/>
        </w:trPr>
        <w:tc>
          <w:tcPr>
            <w:tcW w:w="9654" w:type="dxa"/>
            <w:gridSpan w:val="2"/>
            <w:shd w:val="clear" w:color="000000" w:fill="FFFFFF"/>
            <w:tcMar>
              <w:left w:w="34" w:type="dxa"/>
              <w:right w:w="34" w:type="dxa"/>
            </w:tcMar>
          </w:tcPr>
          <w:p w:rsidR="00CB62C4" w:rsidRDefault="00E340F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Архангельская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Архипов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Асяева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Ахвледиани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Бакланова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Качалова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Козлов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Мягкова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Рябикин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Саввина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Трифонов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Финогенова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Хабаров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Челухина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Хоминич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978-5-534-08590-7.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D13C9">
                <w:rPr>
                  <w:rStyle w:val="a3"/>
                </w:rPr>
                <w:t>https://urait.ru/bcode/442362</w:t>
              </w:r>
            </w:hyperlink>
            <w:r>
              <w:t xml:space="preserve"> </w:t>
            </w:r>
          </w:p>
        </w:tc>
      </w:tr>
      <w:tr w:rsidR="00CB62C4">
        <w:trPr>
          <w:trHeight w:hRule="exact" w:val="555"/>
        </w:trPr>
        <w:tc>
          <w:tcPr>
            <w:tcW w:w="9654" w:type="dxa"/>
            <w:gridSpan w:val="2"/>
            <w:shd w:val="clear" w:color="000000" w:fill="FFFFFF"/>
            <w:tcMar>
              <w:left w:w="34" w:type="dxa"/>
              <w:right w:w="34" w:type="dxa"/>
            </w:tcMar>
          </w:tcPr>
          <w:p w:rsidR="00CB62C4" w:rsidRDefault="00E340F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Бухгалтерский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Шадрина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Егорова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978-5-534-03787-6.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D13C9">
                <w:rPr>
                  <w:rStyle w:val="a3"/>
                </w:rPr>
                <w:t>https://urait.ru/bcode/450479</w:t>
              </w:r>
            </w:hyperlink>
            <w:r>
              <w:t xml:space="preserve"> </w:t>
            </w:r>
          </w:p>
        </w:tc>
      </w:tr>
      <w:tr w:rsidR="00CB62C4">
        <w:trPr>
          <w:trHeight w:hRule="exact" w:val="826"/>
        </w:trPr>
        <w:tc>
          <w:tcPr>
            <w:tcW w:w="9654" w:type="dxa"/>
            <w:gridSpan w:val="2"/>
            <w:shd w:val="clear" w:color="000000" w:fill="FFFFFF"/>
            <w:tcMar>
              <w:left w:w="34" w:type="dxa"/>
              <w:right w:w="34" w:type="dxa"/>
            </w:tcMar>
          </w:tcPr>
          <w:p w:rsidR="00CB62C4" w:rsidRDefault="00E340F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Страховой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Страховой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978-5-238-02089-1.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D13C9">
                <w:rPr>
                  <w:rStyle w:val="a3"/>
                </w:rPr>
                <w:t>http://www.iprbookshop.ru/81566.html</w:t>
              </w:r>
            </w:hyperlink>
            <w:r>
              <w:t xml:space="preserve"> </w:t>
            </w:r>
          </w:p>
        </w:tc>
      </w:tr>
      <w:tr w:rsidR="00CB62C4">
        <w:trPr>
          <w:trHeight w:hRule="exact" w:val="277"/>
        </w:trPr>
        <w:tc>
          <w:tcPr>
            <w:tcW w:w="285" w:type="dxa"/>
          </w:tcPr>
          <w:p w:rsidR="00CB62C4" w:rsidRDefault="00CB62C4"/>
        </w:tc>
        <w:tc>
          <w:tcPr>
            <w:tcW w:w="9370" w:type="dxa"/>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i/>
                <w:color w:val="000000"/>
                <w:sz w:val="24"/>
                <w:szCs w:val="24"/>
              </w:rPr>
              <w:t>Дополнительная:</w:t>
            </w:r>
          </w:p>
        </w:tc>
      </w:tr>
      <w:tr w:rsidR="00CB62C4">
        <w:trPr>
          <w:trHeight w:hRule="exact" w:val="26"/>
        </w:trPr>
        <w:tc>
          <w:tcPr>
            <w:tcW w:w="9654" w:type="dxa"/>
            <w:gridSpan w:val="2"/>
            <w:vMerge w:val="restart"/>
            <w:shd w:val="clear" w:color="000000" w:fill="FFFFFF"/>
            <w:tcMar>
              <w:left w:w="34" w:type="dxa"/>
              <w:right w:w="34" w:type="dxa"/>
            </w:tcMar>
          </w:tcPr>
          <w:p w:rsidR="00CB62C4" w:rsidRDefault="00E340F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Берзон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Теплова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Аршавский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Петрикова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Голованова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978-5-534-01172-2.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D13C9">
                <w:rPr>
                  <w:rStyle w:val="a3"/>
                </w:rPr>
                <w:t>https://urait.ru/bcode/449778</w:t>
              </w:r>
            </w:hyperlink>
            <w:r>
              <w:t xml:space="preserve"> </w:t>
            </w:r>
          </w:p>
        </w:tc>
      </w:tr>
      <w:tr w:rsidR="00CB62C4">
        <w:trPr>
          <w:trHeight w:hRule="exact" w:val="799"/>
        </w:trPr>
        <w:tc>
          <w:tcPr>
            <w:tcW w:w="9654" w:type="dxa"/>
            <w:gridSpan w:val="2"/>
            <w:vMerge/>
            <w:shd w:val="clear" w:color="000000" w:fill="FFFFFF"/>
            <w:tcMar>
              <w:left w:w="34" w:type="dxa"/>
              <w:right w:w="34" w:type="dxa"/>
            </w:tcMar>
          </w:tcPr>
          <w:p w:rsidR="00CB62C4" w:rsidRDefault="00CB62C4"/>
        </w:tc>
      </w:tr>
      <w:tr w:rsidR="00CB62C4">
        <w:trPr>
          <w:trHeight w:hRule="exact" w:val="826"/>
        </w:trPr>
        <w:tc>
          <w:tcPr>
            <w:tcW w:w="9654" w:type="dxa"/>
            <w:gridSpan w:val="2"/>
            <w:shd w:val="clear" w:color="000000" w:fill="FFFFFF"/>
            <w:tcMar>
              <w:left w:w="34" w:type="dxa"/>
              <w:right w:w="34" w:type="dxa"/>
            </w:tcMar>
          </w:tcPr>
          <w:p w:rsidR="00CB62C4" w:rsidRDefault="00E340F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Риск-менеджмент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Вяткин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Гамза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Маевский</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D13C9">
                <w:rPr>
                  <w:rStyle w:val="a3"/>
                </w:rPr>
                <w:t>https://urait.ru/bcode/450164</w:t>
              </w:r>
            </w:hyperlink>
            <w:r>
              <w:t xml:space="preserve"> </w:t>
            </w:r>
          </w:p>
        </w:tc>
      </w:tr>
      <w:tr w:rsidR="00CB62C4">
        <w:trPr>
          <w:trHeight w:hRule="exact" w:val="585"/>
        </w:trPr>
        <w:tc>
          <w:tcPr>
            <w:tcW w:w="9654" w:type="dxa"/>
            <w:gridSpan w:val="2"/>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B62C4">
        <w:trPr>
          <w:trHeight w:hRule="exact" w:val="3095"/>
        </w:trPr>
        <w:tc>
          <w:tcPr>
            <w:tcW w:w="9654" w:type="dxa"/>
            <w:gridSpan w:val="2"/>
            <w:shd w:val="clear" w:color="000000" w:fill="FFFFFF"/>
            <w:tcMar>
              <w:left w:w="34" w:type="dxa"/>
              <w:right w:w="34" w:type="dxa"/>
            </w:tcMar>
          </w:tcPr>
          <w:p w:rsidR="00CB62C4" w:rsidRDefault="00E340F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2D13C9">
                <w:rPr>
                  <w:rStyle w:val="a3"/>
                  <w:rFonts w:ascii="Times New Roman" w:hAnsi="Times New Roman" w:cs="Times New Roman"/>
                  <w:sz w:val="24"/>
                  <w:szCs w:val="24"/>
                </w:rPr>
                <w:t>http://www.iprbookshop.ru</w:t>
              </w:r>
            </w:hyperlink>
          </w:p>
          <w:p w:rsidR="00CB62C4" w:rsidRDefault="00E340F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2D13C9">
                <w:rPr>
                  <w:rStyle w:val="a3"/>
                  <w:rFonts w:ascii="Times New Roman" w:hAnsi="Times New Roman" w:cs="Times New Roman"/>
                  <w:sz w:val="24"/>
                  <w:szCs w:val="24"/>
                </w:rPr>
                <w:t>http://biblio-online.ru</w:t>
              </w:r>
            </w:hyperlink>
          </w:p>
          <w:p w:rsidR="00CB62C4" w:rsidRDefault="00E340F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2D13C9">
                <w:rPr>
                  <w:rStyle w:val="a3"/>
                  <w:rFonts w:ascii="Times New Roman" w:hAnsi="Times New Roman" w:cs="Times New Roman"/>
                  <w:sz w:val="24"/>
                  <w:szCs w:val="24"/>
                </w:rPr>
                <w:t>http://window.edu.ru/</w:t>
              </w:r>
            </w:hyperlink>
          </w:p>
          <w:p w:rsidR="00CB62C4" w:rsidRDefault="00E340F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2D13C9">
                <w:rPr>
                  <w:rStyle w:val="a3"/>
                  <w:rFonts w:ascii="Times New Roman" w:hAnsi="Times New Roman" w:cs="Times New Roman"/>
                  <w:sz w:val="24"/>
                  <w:szCs w:val="24"/>
                </w:rPr>
                <w:t>http://elibrary.ru</w:t>
              </w:r>
            </w:hyperlink>
          </w:p>
          <w:p w:rsidR="00CB62C4" w:rsidRDefault="00E340F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2D13C9">
                <w:rPr>
                  <w:rStyle w:val="a3"/>
                  <w:rFonts w:ascii="Times New Roman" w:hAnsi="Times New Roman" w:cs="Times New Roman"/>
                  <w:sz w:val="24"/>
                  <w:szCs w:val="24"/>
                </w:rPr>
                <w:t>http://www.sciencedirect.com</w:t>
              </w:r>
            </w:hyperlink>
          </w:p>
          <w:p w:rsidR="00CB62C4" w:rsidRDefault="00E340F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CB62C4" w:rsidRDefault="00E340F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2D13C9">
                <w:rPr>
                  <w:rStyle w:val="a3"/>
                  <w:rFonts w:ascii="Times New Roman" w:hAnsi="Times New Roman" w:cs="Times New Roman"/>
                  <w:sz w:val="24"/>
                  <w:szCs w:val="24"/>
                </w:rPr>
                <w:t>http://journals.cambridge.org</w:t>
              </w:r>
            </w:hyperlink>
          </w:p>
          <w:p w:rsidR="00CB62C4" w:rsidRDefault="00E340F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2D13C9">
                <w:rPr>
                  <w:rStyle w:val="a3"/>
                  <w:rFonts w:ascii="Times New Roman" w:hAnsi="Times New Roman" w:cs="Times New Roman"/>
                  <w:sz w:val="24"/>
                  <w:szCs w:val="24"/>
                </w:rPr>
                <w:t>http://www.oxfordjoumals.org</w:t>
              </w:r>
            </w:hyperlink>
          </w:p>
          <w:p w:rsidR="00CB62C4" w:rsidRDefault="00E340F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2D13C9">
                <w:rPr>
                  <w:rStyle w:val="a3"/>
                  <w:rFonts w:ascii="Times New Roman" w:hAnsi="Times New Roman" w:cs="Times New Roman"/>
                  <w:sz w:val="24"/>
                  <w:szCs w:val="24"/>
                </w:rPr>
                <w:t>http://dic.academic.ru/</w:t>
              </w:r>
            </w:hyperlink>
          </w:p>
          <w:p w:rsidR="00CB62C4" w:rsidRDefault="00E340FB">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CB62C4" w:rsidRDefault="00E340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62C4">
        <w:trPr>
          <w:trHeight w:hRule="exact" w:val="6776"/>
        </w:trPr>
        <w:tc>
          <w:tcPr>
            <w:tcW w:w="9654" w:type="dxa"/>
            <w:shd w:val="clear" w:color="000000" w:fill="FFFFFF"/>
            <w:tcMar>
              <w:left w:w="34" w:type="dxa"/>
              <w:right w:w="34" w:type="dxa"/>
            </w:tcMar>
          </w:tcPr>
          <w:p w:rsidR="00CB62C4" w:rsidRDefault="00E340FB">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18" w:history="1">
              <w:r w:rsidR="002D13C9">
                <w:rPr>
                  <w:rStyle w:val="a3"/>
                  <w:rFonts w:ascii="Times New Roman" w:hAnsi="Times New Roman" w:cs="Times New Roman"/>
                  <w:sz w:val="24"/>
                  <w:szCs w:val="24"/>
                </w:rPr>
                <w:t>http://www.benran.ru</w:t>
              </w:r>
            </w:hyperlink>
          </w:p>
          <w:p w:rsidR="00CB62C4" w:rsidRDefault="00E340F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2D13C9">
                <w:rPr>
                  <w:rStyle w:val="a3"/>
                  <w:rFonts w:ascii="Times New Roman" w:hAnsi="Times New Roman" w:cs="Times New Roman"/>
                  <w:sz w:val="24"/>
                  <w:szCs w:val="24"/>
                </w:rPr>
                <w:t>http://www.gks.ru</w:t>
              </w:r>
            </w:hyperlink>
          </w:p>
          <w:p w:rsidR="00CB62C4" w:rsidRDefault="00E340F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2D13C9">
                <w:rPr>
                  <w:rStyle w:val="a3"/>
                  <w:rFonts w:ascii="Times New Roman" w:hAnsi="Times New Roman" w:cs="Times New Roman"/>
                  <w:sz w:val="24"/>
                  <w:szCs w:val="24"/>
                </w:rPr>
                <w:t>http://diss.rsl.ru</w:t>
              </w:r>
            </w:hyperlink>
          </w:p>
          <w:p w:rsidR="00CB62C4" w:rsidRDefault="00E340F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2D13C9">
                <w:rPr>
                  <w:rStyle w:val="a3"/>
                  <w:rFonts w:ascii="Times New Roman" w:hAnsi="Times New Roman" w:cs="Times New Roman"/>
                  <w:sz w:val="24"/>
                  <w:szCs w:val="24"/>
                </w:rPr>
                <w:t>http://ru.spinform.ru</w:t>
              </w:r>
            </w:hyperlink>
          </w:p>
          <w:p w:rsidR="00CB62C4" w:rsidRDefault="00E340F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B62C4" w:rsidRDefault="00E340F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B62C4">
        <w:trPr>
          <w:trHeight w:hRule="exact" w:val="314"/>
        </w:trPr>
        <w:tc>
          <w:tcPr>
            <w:tcW w:w="9654" w:type="dxa"/>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B62C4">
        <w:trPr>
          <w:trHeight w:hRule="exact" w:val="8301"/>
        </w:trPr>
        <w:tc>
          <w:tcPr>
            <w:tcW w:w="9654" w:type="dxa"/>
            <w:shd w:val="clear" w:color="000000" w:fill="FFFFFF"/>
            <w:tcMar>
              <w:left w:w="34" w:type="dxa"/>
              <w:right w:w="34" w:type="dxa"/>
            </w:tcMar>
          </w:tcPr>
          <w:p w:rsidR="00CB62C4" w:rsidRDefault="00E340F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B62C4" w:rsidRDefault="00E340F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B62C4" w:rsidRDefault="00E340F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B62C4" w:rsidRDefault="00E340F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B62C4" w:rsidRDefault="00E340F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B62C4" w:rsidRDefault="00E340F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B62C4" w:rsidRDefault="00E340F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B62C4" w:rsidRDefault="00E340F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B62C4" w:rsidRDefault="00E340F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CB62C4" w:rsidRDefault="00E340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62C4">
        <w:trPr>
          <w:trHeight w:hRule="exact" w:val="5514"/>
        </w:trPr>
        <w:tc>
          <w:tcPr>
            <w:tcW w:w="9654" w:type="dxa"/>
            <w:shd w:val="clear" w:color="000000" w:fill="FFFFFF"/>
            <w:tcMar>
              <w:left w:w="34" w:type="dxa"/>
              <w:right w:w="34" w:type="dxa"/>
            </w:tcMar>
          </w:tcPr>
          <w:p w:rsidR="00CB62C4" w:rsidRDefault="00E340FB">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B62C4" w:rsidRDefault="00E340F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B62C4" w:rsidRDefault="00E340F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B62C4">
        <w:trPr>
          <w:trHeight w:hRule="exact" w:val="855"/>
        </w:trPr>
        <w:tc>
          <w:tcPr>
            <w:tcW w:w="9654" w:type="dxa"/>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B62C4">
        <w:trPr>
          <w:trHeight w:hRule="exact" w:val="2989"/>
        </w:trPr>
        <w:tc>
          <w:tcPr>
            <w:tcW w:w="9654" w:type="dxa"/>
            <w:shd w:val="clear" w:color="000000" w:fill="FFFFFF"/>
            <w:tcMar>
              <w:left w:w="34" w:type="dxa"/>
              <w:right w:w="34" w:type="dxa"/>
            </w:tcMar>
          </w:tcPr>
          <w:p w:rsidR="00CB62C4" w:rsidRDefault="00E340F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B62C4" w:rsidRDefault="00CB62C4">
            <w:pPr>
              <w:spacing w:after="0" w:line="240" w:lineRule="auto"/>
              <w:jc w:val="both"/>
              <w:rPr>
                <w:sz w:val="24"/>
                <w:szCs w:val="24"/>
              </w:rPr>
            </w:pPr>
          </w:p>
          <w:p w:rsidR="00CB62C4" w:rsidRDefault="00E340F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B62C4" w:rsidRDefault="00E340F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B62C4" w:rsidRDefault="00E340F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B62C4" w:rsidRDefault="00E340F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B62C4" w:rsidRDefault="00E340F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B62C4" w:rsidRDefault="00E340F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B62C4" w:rsidRDefault="00CB62C4">
            <w:pPr>
              <w:spacing w:after="0" w:line="240" w:lineRule="auto"/>
              <w:jc w:val="both"/>
              <w:rPr>
                <w:sz w:val="24"/>
                <w:szCs w:val="24"/>
              </w:rPr>
            </w:pPr>
          </w:p>
          <w:p w:rsidR="00CB62C4" w:rsidRDefault="00E340F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B62C4">
        <w:trPr>
          <w:trHeight w:hRule="exact" w:val="304"/>
        </w:trPr>
        <w:tc>
          <w:tcPr>
            <w:tcW w:w="9654" w:type="dxa"/>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2D13C9">
                <w:rPr>
                  <w:rStyle w:val="a3"/>
                  <w:rFonts w:ascii="Times New Roman" w:hAnsi="Times New Roman" w:cs="Times New Roman"/>
                  <w:sz w:val="24"/>
                  <w:szCs w:val="24"/>
                </w:rPr>
                <w:t>http://edu.garant.ru/omga/</w:t>
              </w:r>
            </w:hyperlink>
          </w:p>
        </w:tc>
      </w:tr>
      <w:tr w:rsidR="00CB62C4">
        <w:trPr>
          <w:trHeight w:hRule="exact" w:val="585"/>
        </w:trPr>
        <w:tc>
          <w:tcPr>
            <w:tcW w:w="9654" w:type="dxa"/>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2D13C9">
                <w:rPr>
                  <w:rStyle w:val="a3"/>
                  <w:rFonts w:ascii="Times New Roman" w:hAnsi="Times New Roman" w:cs="Times New Roman"/>
                  <w:sz w:val="24"/>
                  <w:szCs w:val="24"/>
                </w:rPr>
                <w:t>http://www.consultant.ru/edu/student/study/</w:t>
              </w:r>
            </w:hyperlink>
          </w:p>
        </w:tc>
      </w:tr>
      <w:tr w:rsidR="00CB62C4">
        <w:trPr>
          <w:trHeight w:hRule="exact" w:val="314"/>
        </w:trPr>
        <w:tc>
          <w:tcPr>
            <w:tcW w:w="9654" w:type="dxa"/>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B62C4">
        <w:trPr>
          <w:trHeight w:hRule="exact" w:val="4828"/>
        </w:trPr>
        <w:tc>
          <w:tcPr>
            <w:tcW w:w="9654" w:type="dxa"/>
            <w:shd w:val="clear" w:color="000000" w:fill="FFFFFF"/>
            <w:tcMar>
              <w:left w:w="34" w:type="dxa"/>
              <w:right w:w="34" w:type="dxa"/>
            </w:tcMar>
          </w:tcPr>
          <w:p w:rsidR="00CB62C4" w:rsidRDefault="00E340F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B62C4" w:rsidRDefault="00E340F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B62C4" w:rsidRDefault="00E340F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B62C4" w:rsidRDefault="00E340F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B62C4" w:rsidRDefault="00E340F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B62C4" w:rsidRDefault="00E340F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B62C4" w:rsidRDefault="00E340F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CB62C4" w:rsidRDefault="00E340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62C4">
        <w:trPr>
          <w:trHeight w:hRule="exact" w:val="2989"/>
        </w:trPr>
        <w:tc>
          <w:tcPr>
            <w:tcW w:w="9654" w:type="dxa"/>
            <w:shd w:val="clear" w:color="000000" w:fill="FFFFFF"/>
            <w:tcMar>
              <w:left w:w="34" w:type="dxa"/>
              <w:right w:w="34" w:type="dxa"/>
            </w:tcMar>
          </w:tcPr>
          <w:p w:rsidR="00CB62C4" w:rsidRDefault="00E340FB">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CB62C4" w:rsidRDefault="00E340F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B62C4" w:rsidRDefault="00E340F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B62C4" w:rsidRDefault="00E340F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B62C4" w:rsidRDefault="00E340F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B62C4" w:rsidRDefault="00E340F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B62C4" w:rsidRDefault="00E340F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B62C4">
        <w:trPr>
          <w:trHeight w:hRule="exact" w:val="277"/>
        </w:trPr>
        <w:tc>
          <w:tcPr>
            <w:tcW w:w="9640" w:type="dxa"/>
          </w:tcPr>
          <w:p w:rsidR="00CB62C4" w:rsidRDefault="00CB62C4"/>
        </w:tc>
      </w:tr>
      <w:tr w:rsidR="00CB62C4">
        <w:trPr>
          <w:trHeight w:hRule="exact" w:val="585"/>
        </w:trPr>
        <w:tc>
          <w:tcPr>
            <w:tcW w:w="9654" w:type="dxa"/>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B62C4">
        <w:trPr>
          <w:trHeight w:hRule="exact" w:val="11539"/>
        </w:trPr>
        <w:tc>
          <w:tcPr>
            <w:tcW w:w="9654" w:type="dxa"/>
            <w:shd w:val="clear" w:color="000000" w:fill="FFFFFF"/>
            <w:tcMar>
              <w:left w:w="34" w:type="dxa"/>
              <w:right w:w="34" w:type="dxa"/>
            </w:tcMar>
          </w:tcPr>
          <w:p w:rsidR="00CB62C4" w:rsidRDefault="00E340F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B62C4" w:rsidRDefault="00E340F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B62C4" w:rsidRDefault="00E340F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B62C4" w:rsidRDefault="00E340F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B62C4" w:rsidRDefault="00E340F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CB62C4" w:rsidRDefault="00E340F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CB62C4" w:rsidRDefault="00E340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62C4">
        <w:trPr>
          <w:trHeight w:hRule="exact" w:val="2719"/>
        </w:trPr>
        <w:tc>
          <w:tcPr>
            <w:tcW w:w="9654" w:type="dxa"/>
            <w:shd w:val="clear" w:color="000000" w:fill="FFFFFF"/>
            <w:tcMar>
              <w:left w:w="34" w:type="dxa"/>
              <w:right w:w="34" w:type="dxa"/>
            </w:tcMar>
          </w:tcPr>
          <w:p w:rsidR="00CB62C4" w:rsidRDefault="00E340FB">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B62C4">
        <w:trPr>
          <w:trHeight w:hRule="exact" w:val="2478"/>
        </w:trPr>
        <w:tc>
          <w:tcPr>
            <w:tcW w:w="9654" w:type="dxa"/>
            <w:shd w:val="clear" w:color="000000" w:fill="FFFFFF"/>
            <w:tcMar>
              <w:left w:w="34" w:type="dxa"/>
              <w:right w:w="34" w:type="dxa"/>
            </w:tcMar>
          </w:tcPr>
          <w:p w:rsidR="00CB62C4" w:rsidRDefault="00E340F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CB62C4" w:rsidRDefault="00CB62C4"/>
    <w:sectPr w:rsidR="00CB62C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0C88"/>
    <w:rsid w:val="001F0BC7"/>
    <w:rsid w:val="002D13C9"/>
    <w:rsid w:val="00CB62C4"/>
    <w:rsid w:val="00D31453"/>
    <w:rsid w:val="00E209E2"/>
    <w:rsid w:val="00E34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40FB"/>
    <w:rPr>
      <w:color w:val="0563C1" w:themeColor="hyperlink"/>
      <w:u w:val="single"/>
    </w:rPr>
  </w:style>
  <w:style w:type="character" w:styleId="a4">
    <w:name w:val="Unresolved Mention"/>
    <w:basedOn w:val="a0"/>
    <w:uiPriority w:val="99"/>
    <w:semiHidden/>
    <w:unhideWhenUsed/>
    <w:rsid w:val="00E34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0164"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49778"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81566.html" TargetMode="External"/><Relationship Id="rId11" Type="http://schemas.openxmlformats.org/officeDocument/2006/relationships/hyperlink" Target="http://window.edu.ru/" TargetMode="External"/><Relationship Id="rId24" Type="http://schemas.openxmlformats.org/officeDocument/2006/relationships/hyperlink" Target="http://www.biblio-online.ru" TargetMode="External"/><Relationship Id="rId5" Type="http://schemas.openxmlformats.org/officeDocument/2006/relationships/hyperlink" Target="https://urait.ru/bcode/450479" TargetMode="External"/><Relationship Id="rId15" Type="http://schemas.openxmlformats.org/officeDocument/2006/relationships/hyperlink" Target="http://journals.cambridge.org" TargetMode="External"/><Relationship Id="rId23" Type="http://schemas.openxmlformats.org/officeDocument/2006/relationships/hyperlink" Target="http://www.consultant.ru/edu/student/study/"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4236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edu.garant.ru/om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6002</Words>
  <Characters>34213</Characters>
  <Application>Microsoft Office Word</Application>
  <DocSecurity>0</DocSecurity>
  <Lines>285</Lines>
  <Paragraphs>80</Paragraphs>
  <ScaleCrop>false</ScaleCrop>
  <Company/>
  <LinksUpToDate>false</LinksUpToDate>
  <CharactersWithSpaces>40135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2022-2023_ФГОС3++2022_Бак-ОФО-Э(УРиСД)(22)_plx_Финансовый анализ в страховании</dc:title>
  <dc:creator>FastReport.NET</dc:creator>
  <cp:lastModifiedBy>Mark Bernstorf</cp:lastModifiedBy>
  <cp:revision>4</cp:revision>
  <dcterms:created xsi:type="dcterms:W3CDTF">2022-05-01T21:41:00Z</dcterms:created>
  <dcterms:modified xsi:type="dcterms:W3CDTF">2022-11-12T10:49:00Z</dcterms:modified>
</cp:coreProperties>
</file>